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n8n AUTOMATION WORKFLOW</w:t>
      </w:r>
    </w:p>
    <w:p>
      <w:pPr>
        <w:jc w:val="center"/>
      </w:pPr>
      <w:r>
        <w:rPr>
          <w:b w:val="0"/>
          <w:i/>
          <w:color w:val="C9A227"/>
          <w:sz w:val="26"/>
        </w:rPr>
        <w:t>New-Lead Routing &amp; Enrichment Pipeline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rPr>
          <w:rFonts w:ascii="Calibri" w:hAnsi="Calibri"/>
          <w:color w:val="1F3A68"/>
        </w:rPr>
        <w:t>Trigger</w:t>
      </w:r>
    </w:p>
    <w:p>
      <w:pPr>
        <w:jc w:val="both"/>
      </w:pPr>
      <w:r>
        <w:rPr>
          <w:b w:val="0"/>
          <w:i w:val="0"/>
          <w:sz w:val="22"/>
        </w:rPr>
        <w:t>Webhook from website contact form (POST JSON: name, email, company, message).</w:t>
      </w:r>
    </w:p>
    <w:p>
      <w:pPr>
        <w:pStyle w:val="Heading1"/>
      </w:pPr>
      <w:r>
        <w:rPr>
          <w:rFonts w:ascii="Calibri" w:hAnsi="Calibri"/>
          <w:color w:val="1F3A68"/>
        </w:rPr>
        <w:t>Workflow Nodes</w:t>
      </w:r>
    </w:p>
    <w:p>
      <w:pPr>
        <w:pStyle w:val="ListBullet"/>
      </w:pPr>
      <w:r>
        <w:t>1. Webhook — receives the form payload.</w:t>
      </w:r>
    </w:p>
    <w:p>
      <w:pPr>
        <w:pStyle w:val="ListBullet"/>
      </w:pPr>
      <w:r>
        <w:t>2. Function — normalizes the payload (lowercase email, trim whitespace).</w:t>
      </w:r>
    </w:p>
    <w:p>
      <w:pPr>
        <w:pStyle w:val="ListBullet"/>
      </w:pPr>
      <w:r>
        <w:t>3. HTTP Request — Hunter.io email verification.</w:t>
      </w:r>
    </w:p>
    <w:p>
      <w:pPr>
        <w:pStyle w:val="ListBullet"/>
      </w:pPr>
      <w:r>
        <w:t>4. IF — branch on verification confidence &gt; 80%.</w:t>
      </w:r>
    </w:p>
    <w:p>
      <w:pPr>
        <w:pStyle w:val="ListBullet"/>
      </w:pPr>
      <w:r>
        <w:t>5. HTTP Request (Clearbit) — enriches with company size, industry, country.</w:t>
      </w:r>
    </w:p>
    <w:p>
      <w:pPr>
        <w:pStyle w:val="ListBullet"/>
      </w:pPr>
      <w:r>
        <w:t>6. Switch — route by company-size band (SMB / Mid / Enterprise).</w:t>
      </w:r>
    </w:p>
    <w:p>
      <w:pPr>
        <w:pStyle w:val="ListBullet"/>
      </w:pPr>
      <w:r>
        <w:t>7. Set — assigns owner based on size band.</w:t>
      </w:r>
    </w:p>
    <w:p>
      <w:pPr>
        <w:pStyle w:val="ListBullet"/>
      </w:pPr>
      <w:r>
        <w:t>8. HubSpot — creates contact + deal in the right pipeline stage.</w:t>
      </w:r>
    </w:p>
    <w:p>
      <w:pPr>
        <w:pStyle w:val="ListBullet"/>
      </w:pPr>
      <w:r>
        <w:t>9. Slack — posts to #new-leads with a formatted summary.</w:t>
      </w:r>
    </w:p>
    <w:p>
      <w:pPr>
        <w:pStyle w:val="ListBullet"/>
      </w:pPr>
      <w:r>
        <w:t>10. Email — sends a personalized auto-reply via SendGrid.</w:t>
      </w:r>
    </w:p>
    <w:p>
      <w:pPr>
        <w:pStyle w:val="ListBullet"/>
      </w:pPr>
      <w:r>
        <w:t>11. Error Trigger — captures failures and notifies the ops channel.</w:t>
      </w:r>
    </w:p>
    <w:p>
      <w:pPr>
        <w:pStyle w:val="Heading1"/>
      </w:pPr>
      <w:r>
        <w:rPr>
          <w:rFonts w:ascii="Calibri" w:hAnsi="Calibri"/>
          <w:color w:val="1F3A68"/>
        </w:rPr>
        <w:t>Outcome</w:t>
      </w:r>
    </w:p>
    <w:p>
      <w:pPr>
        <w:jc w:val="both"/>
      </w:pPr>
      <w:r>
        <w:rPr>
          <w:b w:val="0"/>
          <w:i w:val="0"/>
          <w:sz w:val="22"/>
        </w:rPr>
        <w:t>Average lead routing latency dropped from 4 hours (manual) to under 30 seconds. Enrichment coverage improved from 40% to 92%. Sales reps reported a measurable lift in contact-rate within the first 24 hours of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