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68"/>
          <w:sz w:val="44"/>
        </w:rPr>
        <w:t>RESEARCH PROPOSAL</w:t>
      </w:r>
    </w:p>
    <w:p>
      <w:pPr>
        <w:jc w:val="center"/>
      </w:pPr>
      <w:r>
        <w:rPr>
          <w:b w:val="0"/>
          <w:i/>
          <w:color w:val="C9A227"/>
          <w:sz w:val="28"/>
        </w:rPr>
        <w:t>The Impact of Low-Code Automation on Small-Business Operational Efficiency in Pakistan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i w:val="0"/>
          <w:color w:val="555555"/>
          <w:sz w:val="22"/>
        </w:rPr>
        <w:t>Submitted by: Ali Raza  |  May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A68"/>
        </w:rPr>
        <w:t>1. Background and Rationale</w:t>
      </w:r>
    </w:p>
    <w:p>
      <w:pPr>
        <w:jc w:val="both"/>
      </w:pPr>
      <w:r>
        <w:rPr>
          <w:b w:val="0"/>
          <w:i w:val="0"/>
          <w:sz w:val="22"/>
        </w:rPr>
        <w:t>Small and medium enterprises (SMEs) in Pakistan represent over 90% of registered businesses but remain under-served by enterprise software. Low-code automation tools such as n8n, Zapier, and Power Automate are emerging as accessible alternatives. This study investigates whether adoption of low-code automation produces measurable improvements in operational efficiency.</w:t>
      </w:r>
    </w:p>
    <w:p>
      <w:pPr>
        <w:pStyle w:val="Heading1"/>
      </w:pPr>
      <w:r>
        <w:rPr>
          <w:rFonts w:ascii="Calibri" w:hAnsi="Calibri"/>
          <w:color w:val="1F3A68"/>
        </w:rPr>
        <w:t>2. Research Questions</w:t>
      </w:r>
    </w:p>
    <w:p>
      <w:pPr>
        <w:pStyle w:val="ListBullet"/>
      </w:pPr>
      <w:r>
        <w:t>RQ1: To what extent does low-code automation reduce average task completion time in Pakistani SMEs?</w:t>
      </w:r>
    </w:p>
    <w:p>
      <w:pPr>
        <w:pStyle w:val="ListBullet"/>
      </w:pPr>
      <w:r>
        <w:t>RQ2: Which functional areas (finance, marketing, HR) realize the greatest efficiency gains?</w:t>
      </w:r>
    </w:p>
    <w:p>
      <w:pPr>
        <w:pStyle w:val="ListBullet"/>
      </w:pPr>
      <w:r>
        <w:t>RQ3: What organizational factors predict successful low-code adoption?</w:t>
      </w:r>
    </w:p>
    <w:p>
      <w:pPr>
        <w:pStyle w:val="Heading1"/>
      </w:pPr>
      <w:r>
        <w:rPr>
          <w:rFonts w:ascii="Calibri" w:hAnsi="Calibri"/>
          <w:color w:val="1F3A68"/>
        </w:rPr>
        <w:t>3. Hypotheses</w:t>
      </w:r>
    </w:p>
    <w:p>
      <w:pPr>
        <w:pStyle w:val="ListBullet"/>
      </w:pPr>
      <w:r>
        <w:t>H1: SMEs adopting low-code tools show ≥25% reduction in routine task completion time within 6 months.</w:t>
      </w:r>
    </w:p>
    <w:p>
      <w:pPr>
        <w:pStyle w:val="ListBullet"/>
      </w:pPr>
      <w:r>
        <w:t>H2: Finance functions realize the largest absolute efficiency gains.</w:t>
      </w:r>
    </w:p>
    <w:p>
      <w:pPr>
        <w:pStyle w:val="ListBullet"/>
      </w:pPr>
      <w:r>
        <w:t>H3: Prior digital maturity is a significant positive predictor of adoption success (β &gt; 0, p &lt; 0.05).</w:t>
      </w:r>
    </w:p>
    <w:p>
      <w:pPr>
        <w:pStyle w:val="Heading1"/>
      </w:pPr>
      <w:r>
        <w:rPr>
          <w:rFonts w:ascii="Calibri" w:hAnsi="Calibri"/>
          <w:color w:val="1F3A68"/>
        </w:rPr>
        <w:t>4. Literature Review (Summary)</w:t>
      </w:r>
    </w:p>
    <w:p>
      <w:pPr>
        <w:jc w:val="both"/>
      </w:pPr>
      <w:r>
        <w:rPr>
          <w:b w:val="0"/>
          <w:i w:val="0"/>
          <w:sz w:val="22"/>
        </w:rPr>
        <w:t>Extant research on low-code platforms (Sahay et al., 2023; Gartner, 2024) emphasizes citizen-developer empowerment but primarily reflects North American and Western European contexts. Studies on Pakistani SME digitization (Khan &amp; Iqbal, 2022) document barriers but do not isolate the effect of automation tooling specifically.</w:t>
      </w:r>
    </w:p>
    <w:p>
      <w:pPr>
        <w:pStyle w:val="Heading1"/>
      </w:pPr>
      <w:r>
        <w:rPr>
          <w:rFonts w:ascii="Calibri" w:hAnsi="Calibri"/>
          <w:color w:val="1F3A68"/>
        </w:rPr>
        <w:t>5. Methodology</w:t>
      </w:r>
    </w:p>
    <w:p>
      <w:r>
        <w:rPr>
          <w:b/>
          <w:i w:val="0"/>
          <w:sz w:val="22"/>
        </w:rPr>
        <w:t>Research design: mixed-methods convergent parallel.</w:t>
      </w:r>
    </w:p>
    <w:p>
      <w:pPr>
        <w:pStyle w:val="ListBullet"/>
      </w:pPr>
      <w:r>
        <w:t>Quantitative: pre/post survey of 120 SMEs (Punjab and Sindh), 6-month observation window.</w:t>
      </w:r>
    </w:p>
    <w:p>
      <w:pPr>
        <w:pStyle w:val="ListBullet"/>
      </w:pPr>
      <w:r>
        <w:t>Qualitative: 15 semi-structured interviews with founders/operations leads.</w:t>
      </w:r>
    </w:p>
    <w:p>
      <w:pPr>
        <w:pStyle w:val="ListBullet"/>
      </w:pPr>
      <w:r>
        <w:t>Statistical analysis: paired t-tests, OLS regression, ANOVA in SPSS and R.</w:t>
      </w:r>
    </w:p>
    <w:p>
      <w:pPr>
        <w:pStyle w:val="ListBullet"/>
      </w:pPr>
      <w:r>
        <w:t>Ethics: informed consent, anonymized data, IRB review prior to data collection.</w:t>
      </w:r>
    </w:p>
    <w:p>
      <w:pPr>
        <w:pStyle w:val="Heading1"/>
      </w:pPr>
      <w:r>
        <w:rPr>
          <w:rFonts w:ascii="Calibri" w:hAnsi="Calibri"/>
          <w:color w:val="1F3A68"/>
        </w:rPr>
        <w:t>6.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Months</w:t>
            </w:r>
          </w:p>
        </w:tc>
      </w:tr>
      <w:tr>
        <w:tc>
          <w:tcPr>
            <w:tcW w:type="dxa" w:w="4320"/>
          </w:tcPr>
          <w:p>
            <w:r>
              <w:t>Literature review &amp; instrument design</w:t>
            </w:r>
          </w:p>
        </w:tc>
        <w:tc>
          <w:tcPr>
            <w:tcW w:type="dxa" w:w="4320"/>
          </w:tcPr>
          <w:p>
            <w:r>
              <w:t>1–2</w:t>
            </w:r>
          </w:p>
        </w:tc>
      </w:tr>
      <w:tr>
        <w:tc>
          <w:tcPr>
            <w:tcW w:type="dxa" w:w="4320"/>
          </w:tcPr>
          <w:p>
            <w:r>
              <w:t>Pilot survey &amp; interview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Full data collection</w:t>
            </w:r>
          </w:p>
        </w:tc>
        <w:tc>
          <w:tcPr>
            <w:tcW w:type="dxa" w:w="4320"/>
          </w:tcPr>
          <w:p>
            <w:r>
              <w:t>4–9</w:t>
            </w:r>
          </w:p>
        </w:tc>
      </w:tr>
      <w:tr>
        <w:tc>
          <w:tcPr>
            <w:tcW w:type="dxa" w:w="4320"/>
          </w:tcPr>
          <w:p>
            <w:r>
              <w:t>Analysis &amp; write-up</w:t>
            </w:r>
          </w:p>
        </w:tc>
        <w:tc>
          <w:tcPr>
            <w:tcW w:type="dxa" w:w="4320"/>
          </w:tcPr>
          <w:p>
            <w:r>
              <w:t>10–12</w:t>
            </w:r>
          </w:p>
        </w:tc>
      </w:tr>
    </w:tbl>
    <w:p>
      <w:pPr>
        <w:pStyle w:val="Heading1"/>
      </w:pPr>
      <w:r>
        <w:rPr>
          <w:rFonts w:ascii="Calibri" w:hAnsi="Calibri"/>
          <w:color w:val="1F3A68"/>
        </w:rPr>
        <w:t>7. Expected Contributions</w:t>
      </w:r>
    </w:p>
    <w:p>
      <w:pPr>
        <w:jc w:val="both"/>
      </w:pPr>
      <w:r>
        <w:rPr>
          <w:b w:val="0"/>
          <w:i w:val="0"/>
          <w:sz w:val="22"/>
        </w:rPr>
        <w:t>This study will provide the first empirical baseline on low-code automation outcomes in Pakistani SMEs and produce a practitioner-facing adoption playbook published as an open-access white paper.</w:t>
      </w:r>
    </w:p>
    <w:p>
      <w:pPr>
        <w:pStyle w:val="Heading1"/>
      </w:pPr>
      <w:r>
        <w:rPr>
          <w:rFonts w:ascii="Calibri" w:hAnsi="Calibri"/>
          <w:color w:val="1F3A68"/>
        </w:rPr>
        <w:t>References</w:t>
      </w:r>
    </w:p>
    <w:p>
      <w:pPr>
        <w:pStyle w:val="ListBullet"/>
      </w:pPr>
      <w:r>
        <w:t>Gartner. (2024). Magic Quadrant for Enterprise Low-Code Application Platforms. Gartner Research.</w:t>
      </w:r>
    </w:p>
    <w:p>
      <w:pPr>
        <w:pStyle w:val="ListBullet"/>
      </w:pPr>
      <w:r>
        <w:t>Khan, A., &amp; Iqbal, R. (2022). Digital transformation barriers among Pakistani SMEs. Journal of Asian Business Research, 14(2), 88–110.</w:t>
      </w:r>
    </w:p>
    <w:p>
      <w:pPr>
        <w:pStyle w:val="ListBullet"/>
      </w:pPr>
      <w:r>
        <w:t>Sahay, S., Patel, K., &amp; Lin, Y. (2023). Citizen developers and the democratization of automation. MIS Quarterly Executive, 22(3), 211–229.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