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0"/>
        </w:rPr>
        <w:t>CHAPTER 3</w:t>
      </w:r>
    </w:p>
    <w:p>
      <w:pPr>
        <w:jc w:val="center"/>
      </w:pPr>
      <w:r>
        <w:rPr>
          <w:b w:val="0"/>
          <w:i/>
          <w:color w:val="C9A227"/>
          <w:sz w:val="32"/>
        </w:rPr>
        <w:t>Research Methodology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color w:val="555555"/>
          <w:sz w:val="22"/>
        </w:rPr>
        <w:t>(Sample chapter — Software Engineering / Data Analytics dissertation)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3.1 Introduction</w:t>
      </w:r>
    </w:p>
    <w:p>
      <w:pPr>
        <w:jc w:val="both"/>
      </w:pPr>
      <w:r>
        <w:rPr>
          <w:b w:val="0"/>
          <w:i w:val="0"/>
          <w:sz w:val="22"/>
        </w:rPr>
        <w:t>This chapter outlines the methodological framework adopted for the present study, which investigates the predictive accuracy of ensemble machine-learning models on residential mortgage default outcomes. The chapter justifies the philosophical stance, research design, sampling strategy, instrumentation, data collection procedures, ethical considerations, and analytical techniques. Each subsection ends with a brief justification of the choice relative to alternative approaches that were considered and rejected.</w:t>
      </w:r>
    </w:p>
    <w:p>
      <w:pPr>
        <w:pStyle w:val="Heading1"/>
      </w:pPr>
      <w:r>
        <w:rPr>
          <w:rFonts w:ascii="Calibri" w:hAnsi="Calibri"/>
          <w:color w:val="1F3A68"/>
        </w:rPr>
        <w:t>3.2 Research Philosophy</w:t>
      </w:r>
    </w:p>
    <w:p>
      <w:pPr>
        <w:jc w:val="both"/>
      </w:pPr>
      <w:r>
        <w:rPr>
          <w:b w:val="0"/>
          <w:i w:val="0"/>
          <w:sz w:val="22"/>
        </w:rPr>
        <w:t>The study adopts a post-positivist philosophy. While objective measurement of predictive accuracy is foregrounded, the researcher acknowledges that feature engineering and model selection are inherently interpretive activities. Saunders et al. (2019) describe post-positivism as offering a pragmatic middle ground that is well-suited to applied data-science research.</w:t>
      </w:r>
    </w:p>
    <w:p>
      <w:pPr>
        <w:pStyle w:val="Heading1"/>
      </w:pPr>
      <w:r>
        <w:rPr>
          <w:rFonts w:ascii="Calibri" w:hAnsi="Calibri"/>
          <w:color w:val="1F3A68"/>
        </w:rPr>
        <w:t>3.3 Research Design</w:t>
      </w:r>
    </w:p>
    <w:p>
      <w:pPr>
        <w:jc w:val="both"/>
      </w:pPr>
      <w:r>
        <w:rPr>
          <w:b w:val="0"/>
          <w:i w:val="0"/>
          <w:sz w:val="22"/>
        </w:rPr>
        <w:t>An ex-post-facto quantitative design is employed. The dataset comprises 120,000 anonymized mortgage records from a U.S. servicing portfolio covering 2018–2024. Three model families are compared: logistic regression (baseline), random forest, and gradient-boosted trees (XGBoost). Performance is evaluated using AUC-ROC, F1, and Brier score under stratified 5-fold cross-validation.</w:t>
      </w:r>
    </w:p>
    <w:p>
      <w:pPr>
        <w:pStyle w:val="Heading1"/>
      </w:pPr>
      <w:r>
        <w:rPr>
          <w:rFonts w:ascii="Calibri" w:hAnsi="Calibri"/>
          <w:color w:val="1F3A68"/>
        </w:rPr>
        <w:t>3.4 Sampling Strategy</w:t>
      </w:r>
    </w:p>
    <w:p>
      <w:pPr>
        <w:jc w:val="both"/>
      </w:pPr>
      <w:r>
        <w:rPr>
          <w:b w:val="0"/>
          <w:i w:val="0"/>
          <w:sz w:val="22"/>
        </w:rPr>
        <w:t>Stratified random sampling preserved the underlying default class proportion (8.6%) across training and held-out test sets. SMOTE was evaluated as a resampling option and rejected after preliminary trials showed only marginal F1 improvement at the cost of degraded calibration.</w:t>
      </w:r>
    </w:p>
    <w:p>
      <w:pPr>
        <w:pStyle w:val="Heading1"/>
      </w:pPr>
      <w:r>
        <w:rPr>
          <w:rFonts w:ascii="Calibri" w:hAnsi="Calibri"/>
          <w:color w:val="1F3A68"/>
        </w:rPr>
        <w:t>3.5 Instrumentation and Data Pipeline</w:t>
      </w:r>
    </w:p>
    <w:p>
      <w:pPr>
        <w:jc w:val="both"/>
      </w:pPr>
      <w:r>
        <w:rPr>
          <w:b w:val="0"/>
          <w:i w:val="0"/>
          <w:sz w:val="22"/>
        </w:rPr>
        <w:t>Data ingestion was performed in Python 3.11 using pandas 2.1 and pyarrow. Feature engineering transformations were captured in scikit-learn Pipeline objects to ensure reproducibility. Model training used scikit-learn 1.5 and xgboost 2.0. All notebooks are version-controlled in a private Git repository.</w:t>
      </w:r>
    </w:p>
    <w:p>
      <w:pPr>
        <w:pStyle w:val="Heading1"/>
      </w:pPr>
      <w:r>
        <w:rPr>
          <w:rFonts w:ascii="Calibri" w:hAnsi="Calibri"/>
          <w:color w:val="1F3A68"/>
        </w:rPr>
        <w:t>3.6 Ethical Considerations</w:t>
      </w:r>
    </w:p>
    <w:p>
      <w:pPr>
        <w:jc w:val="both"/>
      </w:pPr>
      <w:r>
        <w:rPr>
          <w:b w:val="0"/>
          <w:i w:val="0"/>
          <w:sz w:val="22"/>
        </w:rPr>
        <w:t>All records were de-identified before access. The study was reviewed and approved by the university's Institutional Review Board (Reference: SE-2025-118). No protected attributes (race, ethnicity) were used as model features, in line with ECOA and CFPB guidance.</w:t>
      </w:r>
    </w:p>
    <w:p>
      <w:pPr>
        <w:pStyle w:val="Heading1"/>
      </w:pPr>
      <w:r>
        <w:rPr>
          <w:rFonts w:ascii="Calibri" w:hAnsi="Calibri"/>
          <w:color w:val="1F3A68"/>
        </w:rPr>
        <w:t>3.7 Analytical Procedures</w:t>
      </w:r>
    </w:p>
    <w:p>
      <w:pPr>
        <w:jc w:val="both"/>
      </w:pPr>
      <w:r>
        <w:rPr>
          <w:b w:val="0"/>
          <w:i w:val="0"/>
          <w:sz w:val="22"/>
        </w:rPr>
        <w:t>Hypothesis testing followed a two-tier approach. First, paired comparisons of cross-validation AUC between model families used the corrected resampled t-test of Nadeau &amp; Bengio (2003). Second, calibration was assessed via reliability diagrams and the Hosmer–Lemeshow test.</w:t>
      </w:r>
    </w:p>
    <w:p>
      <w:pPr>
        <w:pStyle w:val="Heading1"/>
      </w:pPr>
      <w:r>
        <w:rPr>
          <w:rFonts w:ascii="Calibri" w:hAnsi="Calibri"/>
          <w:color w:val="1F3A68"/>
        </w:rPr>
        <w:t>3.8 Summary</w:t>
      </w:r>
    </w:p>
    <w:p>
      <w:pPr>
        <w:jc w:val="both"/>
      </w:pPr>
      <w:r>
        <w:rPr>
          <w:b w:val="0"/>
          <w:i w:val="0"/>
          <w:sz w:val="22"/>
        </w:rPr>
        <w:t>This chapter has set out the methodological apparatus that underpins the empirical analysis presented in Chapter 4. The combination of a robust research philosophy, an appropriately scaled dataset, a transparent analytical pipeline, and rigorous ethical safeguards collectively justify the validity of the findings reported in subsequent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