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4.svg" ContentType="image/svg"/>
  <Override PartName="/word/media/image2.svg" ContentType="image/svg"/>
  <Override PartName="/word/media/image6.svg" ContentType="image/svg"/>
  <Override PartName="/word/media/image10.svg" ContentType="image/svg"/>
  <Override PartName="/word/media/image8.svg" ContentType="image/sv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480"/>
        <w:rPr/>
      </w:pPr>
      <w:r>
        <w:rPr/>
        <w:t>Bladder Cancer in the United States: National Trends and State-Level Patterns from Global Burden of Disease (GBD) Study, 1980-2021</w:t>
      </w:r>
    </w:p>
    <w:p>
      <w:pPr>
        <w:pStyle w:val="Subtitle"/>
        <w:spacing w:lineRule="auto" w:line="480"/>
        <w:rPr/>
      </w:pPr>
      <w:r>
        <w:rPr/>
        <w:t>Burden of Bladder Cancer in the United States</w:t>
      </w:r>
    </w:p>
    <w:p>
      <w:pPr>
        <w:pStyle w:val="Author"/>
        <w:spacing w:lineRule="auto" w:line="480"/>
        <w:rPr/>
      </w:pPr>
      <w:r>
        <w:rPr/>
        <w:t>Alireza Sadeghi</w:t>
      </w:r>
      <w:r>
        <w:rPr>
          <w:vertAlign w:val="superscript"/>
        </w:rPr>
        <w:t>1</w:t>
      </w:r>
      <w:r>
        <w:rPr/>
        <w:t>, Fatemeh Nouri</w:t>
      </w:r>
      <w:r>
        <w:rPr>
          <w:vertAlign w:val="superscript"/>
        </w:rPr>
        <w:t>1</w:t>
      </w:r>
      <w:r>
        <w:rPr/>
        <w:t>, Niloofar Dehdari Ebrahimi</w:t>
      </w:r>
      <w:r>
        <w:rPr>
          <w:vertAlign w:val="superscript"/>
        </w:rPr>
        <w:t>1</w:t>
      </w:r>
      <w:r>
        <w:rPr/>
        <w:t>, Ehsan Taherifard</w:t>
      </w:r>
      <w:r>
        <w:rPr>
          <w:vertAlign w:val="superscript"/>
        </w:rPr>
        <w:t>1</w:t>
      </w:r>
      <w:r>
        <w:rPr/>
        <w:t>, and Wassim Kassouf</w:t>
      </w:r>
      <w:r>
        <w:rPr>
          <w:vertAlign w:val="superscript"/>
        </w:rPr>
        <w:t>2,✉</w:t>
      </w:r>
    </w:p>
    <w:p>
      <w:pPr>
        <w:pStyle w:val="FirstParagraph"/>
        <w:spacing w:lineRule="auto" w:line="480"/>
        <w:rPr/>
      </w:pPr>
      <w:r>
        <w:rPr>
          <w:vertAlign w:val="superscript"/>
        </w:rPr>
        <w:t>1</w:t>
      </w:r>
      <w:r>
        <w:rPr/>
        <w:t xml:space="preserve"> Student Research Committee, Shiraz University of Medical Sciences, Shiraz, Iran</w:t>
        <w:br/>
      </w:r>
      <w:r>
        <w:rPr>
          <w:vertAlign w:val="superscript"/>
        </w:rPr>
        <w:t>2</w:t>
      </w:r>
      <w:r>
        <w:rPr/>
        <w:t xml:space="preserve"> Division of Urology, McGill University Health Center, Montreal, QC</w:t>
      </w:r>
    </w:p>
    <w:p>
      <w:pPr>
        <w:pStyle w:val="BodyText"/>
        <w:spacing w:lineRule="auto" w:line="480"/>
        <w:rPr/>
      </w:pPr>
      <w:r>
        <w:rPr>
          <w:vertAlign w:val="superscript"/>
        </w:rPr>
        <w:t>✉</w:t>
      </w:r>
      <w:r>
        <w:rPr/>
        <w:t xml:space="preserve"> </w:t>
      </w:r>
      <w:r>
        <w:rPr/>
        <w:t xml:space="preserve">Correspondence: </w:t>
      </w:r>
      <w:hyperlink r:id="rId2">
        <w:r>
          <w:rPr>
            <w:rStyle w:val="Hyperlink"/>
          </w:rPr>
          <w:t>Wassim Kassouf &lt;Wassim.Kassouf.med@ssss.gouv.qc.ca&gt;</w:t>
        </w:r>
      </w:hyperlink>
    </w:p>
    <w:p>
      <w:pPr>
        <w:pStyle w:val="BodyText"/>
        <w:spacing w:lineRule="auto" w:line="480"/>
        <w:rPr/>
      </w:pPr>
      <w:r>
        <w:rPr>
          <w:b/>
          <w:bCs/>
        </w:rPr>
        <w:t>Authors contact</w:t>
      </w:r>
    </w:p>
    <w:p>
      <w:pPr>
        <w:pStyle w:val="BodyText"/>
        <w:spacing w:lineRule="auto" w:line="480"/>
        <w:rPr/>
      </w:pPr>
      <w:r>
        <w:rPr/>
        <w:t>Alireza Sadeghi</w:t>
      </w:r>
    </w:p>
    <w:p>
      <w:pPr>
        <w:pStyle w:val="Normal"/>
        <w:numPr>
          <w:ilvl w:val="0"/>
          <w:numId w:val="1"/>
        </w:numPr>
        <w:spacing w:lineRule="auto" w:line="480"/>
        <w:rPr/>
      </w:pPr>
      <w:r>
        <w:rPr/>
        <w:t xml:space="preserve">Email </w:t>
      </w:r>
      <w:hyperlink r:id="rId3">
        <w:r>
          <w:rPr>
            <w:rStyle w:val="Hyperlink"/>
          </w:rPr>
          <w:t>alireza.sadeghi.md@gmail.com</w:t>
        </w:r>
      </w:hyperlink>
    </w:p>
    <w:p>
      <w:pPr>
        <w:pStyle w:val="Normal"/>
        <w:numPr>
          <w:ilvl w:val="0"/>
          <w:numId w:val="1"/>
        </w:numPr>
        <w:spacing w:lineRule="auto" w:line="480"/>
        <w:rPr/>
      </w:pPr>
      <w:r>
        <w:rPr/>
        <w:t xml:space="preserve">ORCID </w:t>
      </w:r>
      <w:hyperlink r:id="rId4">
        <w:r>
          <w:rPr>
            <w:rStyle w:val="Hyperlink"/>
          </w:rPr>
          <w:t>0000-0002-7950-3270</w:t>
        </w:r>
      </w:hyperlink>
    </w:p>
    <w:p>
      <w:pPr>
        <w:pStyle w:val="FirstParagraph"/>
        <w:spacing w:lineRule="auto" w:line="480"/>
        <w:rPr/>
      </w:pPr>
      <w:r>
        <w:rPr/>
        <w:t>Fatemeh Nouri</w:t>
      </w:r>
    </w:p>
    <w:p>
      <w:pPr>
        <w:pStyle w:val="Normal"/>
        <w:numPr>
          <w:ilvl w:val="0"/>
          <w:numId w:val="1"/>
        </w:numPr>
        <w:spacing w:lineRule="auto" w:line="480"/>
        <w:rPr/>
      </w:pPr>
      <w:r>
        <w:rPr/>
        <w:t xml:space="preserve">Email </w:t>
      </w:r>
      <w:hyperlink r:id="rId5">
        <w:r>
          <w:rPr>
            <w:rStyle w:val="Hyperlink"/>
          </w:rPr>
          <w:t>nouri.fatmh@gmail.com</w:t>
        </w:r>
      </w:hyperlink>
    </w:p>
    <w:p>
      <w:pPr>
        <w:pStyle w:val="Normal"/>
        <w:numPr>
          <w:ilvl w:val="0"/>
          <w:numId w:val="1"/>
        </w:numPr>
        <w:spacing w:lineRule="auto" w:line="480"/>
        <w:rPr/>
      </w:pPr>
      <w:r>
        <w:rPr/>
        <w:t xml:space="preserve">ORCID </w:t>
      </w:r>
      <w:hyperlink r:id="rId6">
        <w:r>
          <w:rPr>
            <w:rStyle w:val="Hyperlink"/>
          </w:rPr>
          <w:t>0000-0002-4878-7848</w:t>
        </w:r>
      </w:hyperlink>
    </w:p>
    <w:p>
      <w:pPr>
        <w:pStyle w:val="FirstParagraph"/>
        <w:spacing w:lineRule="auto" w:line="480"/>
        <w:rPr/>
      </w:pPr>
      <w:r>
        <w:rPr/>
        <w:t>Niloofar Dehdari Ebrahimi</w:t>
      </w:r>
    </w:p>
    <w:p>
      <w:pPr>
        <w:pStyle w:val="Normal"/>
        <w:numPr>
          <w:ilvl w:val="0"/>
          <w:numId w:val="1"/>
        </w:numPr>
        <w:spacing w:lineRule="auto" w:line="480"/>
        <w:rPr/>
      </w:pPr>
      <w:r>
        <w:rPr/>
        <w:t xml:space="preserve">Email </w:t>
      </w:r>
      <w:hyperlink r:id="rId7">
        <w:r>
          <w:rPr>
            <w:rStyle w:val="Hyperlink"/>
          </w:rPr>
          <w:t>niloofar.dehdari6021@gmail.com</w:t>
        </w:r>
      </w:hyperlink>
    </w:p>
    <w:p>
      <w:pPr>
        <w:pStyle w:val="Normal"/>
        <w:numPr>
          <w:ilvl w:val="0"/>
          <w:numId w:val="1"/>
        </w:numPr>
        <w:spacing w:lineRule="auto" w:line="480"/>
        <w:rPr/>
      </w:pPr>
      <w:r>
        <w:rPr/>
        <w:t xml:space="preserve">ORCID </w:t>
      </w:r>
      <w:hyperlink r:id="rId8">
        <w:r>
          <w:rPr>
            <w:rStyle w:val="Hyperlink"/>
          </w:rPr>
          <w:t>0000-0002-9866-8361</w:t>
        </w:r>
      </w:hyperlink>
    </w:p>
    <w:p>
      <w:pPr>
        <w:pStyle w:val="FirstParagraph"/>
        <w:spacing w:lineRule="auto" w:line="480"/>
        <w:rPr/>
      </w:pPr>
      <w:r>
        <w:rPr/>
        <w:t>Ehsan Taherifard</w:t>
      </w:r>
    </w:p>
    <w:p>
      <w:pPr>
        <w:pStyle w:val="Normal"/>
        <w:numPr>
          <w:ilvl w:val="0"/>
          <w:numId w:val="1"/>
        </w:numPr>
        <w:spacing w:lineRule="auto" w:line="480"/>
        <w:rPr/>
      </w:pPr>
      <w:r>
        <w:rPr/>
        <w:t xml:space="preserve">Email </w:t>
      </w:r>
      <w:hyperlink r:id="rId9">
        <w:r>
          <w:rPr>
            <w:rStyle w:val="Hyperlink"/>
          </w:rPr>
          <w:t>etaherim123@gmail.com</w:t>
        </w:r>
      </w:hyperlink>
    </w:p>
    <w:p>
      <w:pPr>
        <w:pStyle w:val="Normal"/>
        <w:numPr>
          <w:ilvl w:val="0"/>
          <w:numId w:val="1"/>
        </w:numPr>
        <w:spacing w:lineRule="auto" w:line="480"/>
        <w:rPr/>
      </w:pPr>
      <w:r>
        <w:rPr/>
        <w:t xml:space="preserve">ORCID </w:t>
      </w:r>
      <w:hyperlink r:id="rId10">
        <w:r>
          <w:rPr>
            <w:rStyle w:val="Hyperlink"/>
          </w:rPr>
          <w:t>0000-0002-8438-4990</w:t>
        </w:r>
      </w:hyperlink>
    </w:p>
    <w:p>
      <w:pPr>
        <w:pStyle w:val="FirstParagraph"/>
        <w:spacing w:lineRule="auto" w:line="480"/>
        <w:rPr/>
      </w:pPr>
      <w:r>
        <w:rPr/>
        <w:t>Wassim Kassouf</w:t>
      </w:r>
    </w:p>
    <w:p>
      <w:pPr>
        <w:pStyle w:val="Normal"/>
        <w:numPr>
          <w:ilvl w:val="0"/>
          <w:numId w:val="1"/>
        </w:numPr>
        <w:spacing w:lineRule="auto" w:line="480"/>
        <w:rPr/>
      </w:pPr>
      <w:r>
        <w:rPr/>
        <w:t xml:space="preserve">Email </w:t>
      </w:r>
      <w:hyperlink r:id="rId11">
        <w:r>
          <w:rPr>
            <w:rStyle w:val="Hyperlink"/>
          </w:rPr>
          <w:t>Wassim.Kassouf.med@ssss.gouv.qc.ca</w:t>
        </w:r>
      </w:hyperlink>
    </w:p>
    <w:p>
      <w:pPr>
        <w:pStyle w:val="Normal"/>
        <w:numPr>
          <w:ilvl w:val="0"/>
          <w:numId w:val="1"/>
        </w:numPr>
        <w:spacing w:lineRule="auto" w:line="480"/>
        <w:rPr/>
      </w:pPr>
      <w:r>
        <w:rPr/>
        <w:t xml:space="preserve">ORCID </w:t>
      </w:r>
      <w:hyperlink r:id="rId12">
        <w:r>
          <w:rPr>
            <w:rStyle w:val="Hyperlink"/>
          </w:rPr>
          <w:t>0000-0002-8350-0531</w:t>
        </w:r>
      </w:hyperlink>
    </w:p>
    <w:p>
      <w:pPr>
        <w:pStyle w:val="Normal"/>
        <w:spacing w:lineRule="auto" w:line="480"/>
        <w:rPr/>
      </w:pPr>
      <w:r>
        <w:rPr/>
      </w:r>
      <w:r>
        <w:br w:type="page"/>
      </w:r>
    </w:p>
    <w:p>
      <w:pPr>
        <w:pStyle w:val="Heading1"/>
        <w:spacing w:lineRule="auto" w:line="480" w:before="0" w:after="80"/>
        <w:rPr/>
      </w:pPr>
      <w:bookmarkStart w:id="0" w:name="abstract"/>
      <w:bookmarkEnd w:id="0"/>
      <w:r>
        <w:rPr/>
        <w:t>1. Abstract</w:t>
      </w:r>
    </w:p>
    <w:p>
      <w:pPr>
        <w:pStyle w:val="FirstParagraph"/>
        <w:spacing w:lineRule="auto" w:line="480"/>
        <w:rPr/>
      </w:pPr>
      <w:r>
        <w:rPr>
          <w:b/>
          <w:bCs/>
        </w:rPr>
        <w:t>Background:</w:t>
      </w:r>
      <w:r>
        <w:rPr/>
        <w:t xml:space="preserve"> The U.S. has the highest health care expenditure globally; however, population health outcomes do not consistently reflect this level of investment. Examining long-term national and state-level trends, and benchmarking them against other health systems, can provide important insights for public health planning and policy development.</w:t>
        <w:br/>
      </w:r>
      <w:r>
        <w:rPr>
          <w:b/>
          <w:bCs/>
        </w:rPr>
        <w:t>Aim:</w:t>
      </w:r>
      <w:r>
        <w:rPr/>
        <w:t xml:space="preserve"> 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br/>
      </w:r>
      <w:r>
        <w:rPr>
          <w:b/>
          <w:bCs/>
        </w:rPr>
        <w:t>Methodology:</w:t>
      </w:r>
      <w:r>
        <w:rPr/>
        <w:t xml:space="preserve"> 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br/>
      </w:r>
      <w:r>
        <w:rPr>
          <w:b/>
          <w:bCs/>
        </w:rPr>
        <w:t>Results:</w:t>
      </w:r>
      <w:r>
        <w:rPr/>
        <w:t xml:space="preserve"> 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br/>
      </w:r>
      <w:r>
        <w:rPr>
          <w:b/>
          <w:bCs/>
        </w:rPr>
        <w:t>Conclusion:</w:t>
      </w:r>
      <w:r>
        <w:rPr/>
        <w:t xml:space="preserve"> 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spacing w:lineRule="auto" w:line="480"/>
        <w:rPr/>
      </w:pPr>
      <w:r>
        <w:rPr>
          <w:b/>
          <w:bCs/>
        </w:rPr>
        <w:t>Keywords:</w:t>
      </w:r>
      <w:r>
        <w:rPr/>
        <w:t xml:space="preserve"> </w:t>
      </w:r>
      <w:r>
        <w:rPr>
          <w:i/>
          <w:iCs/>
        </w:rPr>
        <w:t>bladder cancer; global burden of disease; United States of America; incidence; mortality; prevalence</w:t>
      </w:r>
    </w:p>
    <w:p>
      <w:pPr>
        <w:pStyle w:val="Normal"/>
        <w:spacing w:lineRule="auto" w:line="480"/>
        <w:rPr/>
      </w:pPr>
      <w:r>
        <w:rPr/>
      </w:r>
      <w:bookmarkStart w:id="1" w:name="abstract_Copy_1"/>
      <w:bookmarkEnd w:id="1"/>
      <w:r>
        <w:br w:type="page"/>
      </w:r>
    </w:p>
    <w:p>
      <w:pPr>
        <w:pStyle w:val="Heading1"/>
        <w:spacing w:lineRule="auto" w:line="480" w:before="0" w:after="80"/>
        <w:rPr/>
      </w:pPr>
      <w:r>
        <w:rPr/>
        <w:t>2. Introduction</w:t>
      </w:r>
    </w:p>
    <w:p>
      <w:pPr>
        <w:pStyle w:val="FirstParagraph"/>
        <w:spacing w:lineRule="auto" w:line="480"/>
        <w:rPr/>
      </w:pPr>
      <w:r>
        <w:rPr/>
        <w:t>Bladder cancer (BC) is the sixth most common malignancy in the U.S. (1). Among American men, it ranks as the fourth most frequently diagnosed cancer and the seventh leading cause of cancer-related mortality (2). According to recent estimates from the Surveillance, Epidemiology, and End Results (SEER) Program, approximately 84,870 new cases and 17,420 deaths are projected for 2025, representing 4.2% of all new cancer diagnoses and 2.8% of cancer-related deaths nationwide (1). Similar patterns are observed globally, with an increasing absolute burden despite declining age-standardized rates, underscoring BC as a persistent and growing public health challenge (3).</w:t>
      </w:r>
    </w:p>
    <w:p>
      <w:pPr>
        <w:pStyle w:val="BodyText"/>
        <w:spacing w:lineRule="auto" w:line="480"/>
        <w:rPr/>
      </w:pPr>
      <w:r>
        <w:rPr/>
        <w:t>Beyond its epidemiological impact, BC imposes a substantial economic burden. Its management commonly requires lifelong surveillance and repeated therapeutic interventions, rendering it the most costly cancer to treat on a per-patient lifetime basis (4–6). In addition to direct healthcare expenditures, BC exerts profound effects on patients’ quality of life and significantly impacts the emotional, social, and practical well-being of caregivers and families (7).</w:t>
      </w:r>
    </w:p>
    <w:p>
      <w:pPr>
        <w:pStyle w:val="BodyText"/>
        <w:spacing w:lineRule="auto" w:line="480"/>
        <w:rPr/>
      </w:pPr>
      <w:r>
        <w:rPr/>
        <w:t xml:space="preserve">Substantial geographic heterogeneity in BC incidence and outcomes has been documented across the U.S. (8–11). For instance, Maine reported an age-standardized incidence rate of 26.7 per 100,000 during 2017–2021, nearly double that observed in Hawaii (13.4) (12). Such variation likely reflects differences in environmental exposures, socioeconomic conditions, access to care, and healthcare infrastructure. Incidence rates tend to be highest in northeastern states (10), whereas mortality is disproportionately greater in Southern states (13), where higher proportions of older adults, African Americans, and rural residents may experience delayed diagnosis and reduced access to high-quality treatment (14).  </w:t>
      </w:r>
    </w:p>
    <w:p>
      <w:pPr>
        <w:pStyle w:val="BodyText"/>
        <w:spacing w:lineRule="auto" w:line="480"/>
        <w:rPr/>
      </w:pPr>
      <w:r>
        <w:rPr/>
        <w:t>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 (15), whereas women often present with more advanced disease and have poorer survival (16); however, the geographic distribution of these sex-specific disparities has not been systematically evaluated at the state level.</w:t>
      </w:r>
    </w:p>
    <w:p>
      <w:pPr>
        <w:pStyle w:val="BodyText"/>
        <w:spacing w:lineRule="auto" w:line="480"/>
        <w:rPr/>
      </w:pPr>
      <w:bookmarkStart w:id="2" w:name="introduction"/>
      <w:r>
        <w:rPr/>
        <w:t>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bookmarkEnd w:id="2"/>
    </w:p>
    <w:p>
      <w:pPr>
        <w:pStyle w:val="Heading1"/>
        <w:spacing w:lineRule="auto" w:line="480"/>
        <w:rPr/>
      </w:pPr>
      <w:bookmarkStart w:id="3" w:name="methodology"/>
      <w:r>
        <w:rPr/>
        <w:t>3. Methodology</w:t>
      </w:r>
    </w:p>
    <w:p>
      <w:pPr>
        <w:pStyle w:val="Heading2"/>
        <w:spacing w:lineRule="auto" w:line="480"/>
        <w:rPr/>
      </w:pPr>
      <w:r>
        <w:rPr/>
        <w:t>3.1 Study Design and Data Sources</w:t>
      </w:r>
    </w:p>
    <w:p>
      <w:pPr>
        <w:pStyle w:val="FirstParagraph"/>
        <w:spacing w:lineRule="auto" w:line="480"/>
        <w:rPr/>
      </w:pPr>
      <w:r>
        <w:rP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 (17,18). All data are publicly available through the </w:t>
      </w:r>
      <w:hyperlink r:id="rId13">
        <w:r>
          <w:rPr>
            <w:rStyle w:val="Hyperlink"/>
          </w:rPr>
          <w:t>Global Health Data Exchange (GHDx)</w:t>
        </w:r>
      </w:hyperlink>
      <w:r>
        <w:rPr/>
        <w:t>.</w:t>
      </w:r>
    </w:p>
    <w:p>
      <w:pPr>
        <w:pStyle w:val="BodyText"/>
        <w:spacing w:lineRule="auto" w:line="480"/>
        <w:rPr/>
      </w:pPr>
      <w:bookmarkStart w:id="4" w:name="study-design-and-data-sources"/>
      <w:r>
        <w:rPr/>
        <w:t>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bookmarkEnd w:id="4"/>
    </w:p>
    <w:p>
      <w:pPr>
        <w:pStyle w:val="Heading2"/>
        <w:spacing w:lineRule="auto" w:line="480"/>
        <w:rPr/>
      </w:pPr>
      <w:bookmarkStart w:id="5" w:name="definitions"/>
      <w:r>
        <w:rPr/>
        <w:t>3.2 Definitions</w:t>
      </w:r>
    </w:p>
    <w:p>
      <w:pPr>
        <w:pStyle w:val="DefinitionTerm"/>
        <w:spacing w:lineRule="auto" w:line="480"/>
        <w:rPr/>
      </w:pPr>
      <w:r>
        <w:rPr/>
        <w:t>Bladder cancer</w:t>
      </w:r>
    </w:p>
    <w:p>
      <w:pPr>
        <w:pStyle w:val="Definition"/>
        <w:spacing w:lineRule="auto" w:line="480"/>
        <w:rPr/>
      </w:pPr>
      <w:r>
        <w:rPr/>
        <w:t>Defined in GBD 2021 using the International Classification of Diseases (ICD) coding system: ICD-10 codes C67–C67.9 and ICD-9 codes 188–188.9, V10.51, V16.52, and V76.3 (17,19).</w:t>
      </w:r>
    </w:p>
    <w:p>
      <w:pPr>
        <w:pStyle w:val="DefinitionTerm"/>
        <w:spacing w:lineRule="auto" w:line="480"/>
        <w:rPr/>
      </w:pPr>
      <w:r>
        <w:rPr/>
        <w:t>Disability-adjusted life years (DALYs)</w:t>
      </w:r>
    </w:p>
    <w:p>
      <w:pPr>
        <w:pStyle w:val="Definition"/>
        <w:spacing w:lineRule="auto" w:line="480"/>
        <w:rPr/>
      </w:pPr>
      <w:r>
        <w:rPr/>
        <w:t>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spacing w:lineRule="auto" w:line="480"/>
        <w:rPr/>
      </w:pPr>
      <w:r>
        <w:rPr/>
        <w:t>Years of life lost (YLLs)</w:t>
      </w:r>
    </w:p>
    <w:p>
      <w:pPr>
        <w:pStyle w:val="Definition"/>
        <w:spacing w:lineRule="auto" w:line="480"/>
        <w:rPr/>
      </w:pPr>
      <w:r>
        <w:rPr/>
        <w:t>The fatal component of DALYs, reflecting the number of years lost due to death occurring before the reference life expectancy.</w:t>
      </w:r>
    </w:p>
    <w:p>
      <w:pPr>
        <w:pStyle w:val="DefinitionTerm"/>
        <w:spacing w:lineRule="auto" w:line="480"/>
        <w:rPr/>
      </w:pPr>
      <w:r>
        <w:rPr/>
        <w:t>Years lived with disability (YLDs)</w:t>
      </w:r>
    </w:p>
    <w:p>
      <w:pPr>
        <w:pStyle w:val="Definition"/>
        <w:spacing w:lineRule="auto" w:line="480"/>
        <w:rPr/>
      </w:pPr>
      <w:r>
        <w:rPr/>
        <w:t>The non-fatal component of DALYs, representing time lived in health states less than full health, weighted by severity.</w:t>
      </w:r>
    </w:p>
    <w:p>
      <w:pPr>
        <w:pStyle w:val="DefinitionTerm"/>
        <w:spacing w:lineRule="auto" w:line="480"/>
        <w:rPr/>
      </w:pPr>
      <w:r>
        <w:rPr/>
        <w:t>Socio-Demographic Index (SDI)</w:t>
      </w:r>
    </w:p>
    <w:p>
      <w:pPr>
        <w:pStyle w:val="Definition"/>
        <w:spacing w:lineRule="auto" w:line="480"/>
        <w:rPr/>
      </w:pPr>
      <w:r>
        <w:rPr/>
        <w:t>A composite measure developed within the GBD framework that reflects levels of development based on income per capita, average educational attainment among individuals aged 15 years or older, and fertility rates among those younger than 25 years (20). The index ranges from 0 to 1 and is used to classify countries or regions into five categories: low, low-middle, middle, high-middle, and high. High-SDI countries were included as one of the comparator groups in this study.</w:t>
      </w:r>
    </w:p>
    <w:p>
      <w:pPr>
        <w:pStyle w:val="DefinitionTerm"/>
        <w:spacing w:lineRule="auto" w:line="480"/>
        <w:rPr/>
      </w:pPr>
      <w:r>
        <w:rPr/>
        <w:t>Competing countries</w:t>
      </w:r>
    </w:p>
    <w:p>
      <w:pPr>
        <w:pStyle w:val="Definition"/>
        <w:spacing w:lineRule="auto" w:line="480"/>
        <w:rPr/>
      </w:pPr>
      <w:r>
        <w:rPr/>
        <w:t>Country groupings considered broadly comparable to the U.S. in terms of economic development and health-system context. These included the European Union, high-income countries, and high-SDI regions.</w:t>
      </w:r>
    </w:p>
    <w:p>
      <w:pPr>
        <w:pStyle w:val="DefinitionTerm"/>
        <w:spacing w:lineRule="auto" w:line="480"/>
        <w:rPr/>
      </w:pPr>
      <w:r>
        <w:rPr/>
        <w:t>Age-standardized rates</w:t>
      </w:r>
    </w:p>
    <w:p>
      <w:pPr>
        <w:pStyle w:val="Definition"/>
        <w:spacing w:lineRule="auto" w:line="480"/>
        <w:rPr/>
      </w:pPr>
      <w:r>
        <w:rPr/>
        <w:t>Rates standardized to the GBD global age structure using the direct method, calculated as:</w:t>
      </w:r>
    </w:p>
    <w:p>
      <w:pPr>
        <w:pStyle w:val="Definition"/>
        <w:spacing w:lineRule="auto" w:line="480"/>
        <w:jc w:val="center"/>
        <w:rPr/>
      </w:pPr>
      <w:r>
        <w:rPr/>
      </w:r>
      <m:oMathPara xmlns:m="http://schemas.openxmlformats.org/officeDocument/2006/math">
        <m:oMathParaPr>
          <m:jc m:val="center"/>
        </m:oMathParaPr>
        <m:oMath>
          <m:f>
            <m:num>
              <m:nary>
                <m:naryPr>
                  <m:chr m:val="∑"/>
                </m:naryPr>
                <m:sub>
                  <m:r>
                    <w:rPr>
                      <w:rFonts w:ascii="Cambria Math" w:hAnsi="Cambria Math"/>
                    </w:rPr>
                    <m:t xml:space="preserve">i</m:t>
                  </m:r>
                  <m:r>
                    <m:rPr>
                      <m:lit/>
                      <m:nor/>
                    </m:rPr>
                    <w:rPr>
                      <w:rFonts w:ascii="Cambria Math" w:hAnsi="Cambria Math"/>
                    </w:rPr>
                    <m:t xml:space="preserve">=</m:t>
                  </m:r>
                  <m:r>
                    <w:rPr>
                      <w:rFonts w:ascii="Cambria Math" w:hAnsi="Cambria Math"/>
                    </w:rPr>
                    <m:t xml:space="preserve">1</m:t>
                  </m:r>
                </m:sub>
                <m:sup>
                  <m:r>
                    <w:rPr>
                      <w:rFonts w:ascii="Cambria Math" w:hAnsi="Cambria Math"/>
                    </w:rPr>
                    <m:t xml:space="preserve">A</m:t>
                  </m:r>
                </m:sup>
                <m:e>
                  <m:sSub>
                    <m:e>
                      <m:r>
                        <w:rPr>
                          <w:rFonts w:ascii="Cambria Math" w:hAnsi="Cambria Math"/>
                        </w:rPr>
                        <m:t xml:space="preserve">a</m:t>
                      </m:r>
                    </m:e>
                    <m:sub>
                      <m:r>
                        <w:rPr>
                          <w:rFonts w:ascii="Cambria Math" w:hAnsi="Cambria Math"/>
                        </w:rPr>
                        <m:t xml:space="preserve">i</m:t>
                      </m:r>
                    </m:sub>
                  </m:sSub>
                </m:e>
              </m:nary>
              <m:sSub>
                <m:e>
                  <m:r>
                    <w:rPr>
                      <w:rFonts w:ascii="Cambria Math" w:hAnsi="Cambria Math"/>
                    </w:rPr>
                    <m:t xml:space="preserve">w</m:t>
                  </m:r>
                </m:e>
                <m:sub>
                  <m:r>
                    <w:rPr>
                      <w:rFonts w:ascii="Cambria Math" w:hAnsi="Cambria Math"/>
                    </w:rPr>
                    <m:t xml:space="preserve">i</m:t>
                  </m:r>
                </m:sub>
              </m:sSub>
            </m:num>
            <m:den>
              <m:nary>
                <m:naryPr>
                  <m:chr m:val="∑"/>
                </m:naryPr>
                <m:sub>
                  <m:r>
                    <w:rPr>
                      <w:rFonts w:ascii="Cambria Math" w:hAnsi="Cambria Math"/>
                    </w:rPr>
                    <m:t xml:space="preserve">i</m:t>
                  </m:r>
                  <m:r>
                    <m:rPr>
                      <m:lit/>
                      <m:nor/>
                    </m:rPr>
                    <w:rPr>
                      <w:rFonts w:ascii="Cambria Math" w:hAnsi="Cambria Math"/>
                    </w:rPr>
                    <m:t xml:space="preserve">=</m:t>
                  </m:r>
                  <m:r>
                    <w:rPr>
                      <w:rFonts w:ascii="Cambria Math" w:hAnsi="Cambria Math"/>
                    </w:rPr>
                    <m:t xml:space="preserve">1</m:t>
                  </m:r>
                </m:sub>
                <m:sup>
                  <m:r>
                    <w:rPr>
                      <w:rFonts w:ascii="Cambria Math" w:hAnsi="Cambria Math"/>
                    </w:rPr>
                    <m:t xml:space="preserve">A</m:t>
                  </m:r>
                </m:sup>
                <m:e>
                  <m:sSub>
                    <m:e>
                      <m:r>
                        <w:rPr>
                          <w:rFonts w:ascii="Cambria Math" w:hAnsi="Cambria Math"/>
                        </w:rPr>
                        <m:t xml:space="preserve">w</m:t>
                      </m:r>
                    </m:e>
                    <m:sub>
                      <m:r>
                        <w:rPr>
                          <w:rFonts w:ascii="Cambria Math" w:hAnsi="Cambria Math"/>
                        </w:rPr>
                        <m:t xml:space="preserve">i</m:t>
                      </m:r>
                    </m:sub>
                  </m:sSub>
                </m:e>
              </m:nary>
            </m:den>
          </m:f>
          <m:r>
            <w:rPr>
              <w:rFonts w:ascii="Cambria Math" w:hAnsi="Cambria Math"/>
            </w:rPr>
            <m:t xml:space="preserve">×</m:t>
          </m:r>
          <m:r>
            <w:rPr>
              <w:rFonts w:ascii="Cambria Math" w:hAnsi="Cambria Math"/>
            </w:rPr>
            <m:t xml:space="preserve">100</m:t>
          </m:r>
          <m:r>
            <w:rPr>
              <w:rFonts w:ascii="Cambria Math" w:hAnsi="Cambria Math"/>
            </w:rPr>
            <m:t xml:space="preserve">,</m:t>
          </m:r>
          <m:r>
            <w:rPr>
              <w:rFonts w:ascii="Cambria Math" w:hAnsi="Cambria Math"/>
            </w:rPr>
            <m:t xml:space="preserve">000</m:t>
          </m:r>
        </m:oMath>
      </m:oMathPara>
    </w:p>
    <w:p>
      <w:pPr>
        <w:pStyle w:val="Definition"/>
        <w:spacing w:lineRule="auto" w:line="480"/>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i</m:t>
            </m:r>
          </m:sub>
        </m:sSub>
      </m:oMath>
      <w:r>
        <w:rPr/>
        <w:t xml:space="preserve"> denotes the age-specific rate for age group </w:t>
      </w:r>
      <w:r>
        <w:rPr/>
      </w:r>
      <m:oMath xmlns:m="http://schemas.openxmlformats.org/officeDocument/2006/math">
        <m:r>
          <w:rPr>
            <w:rFonts w:ascii="Cambria Math" w:hAnsi="Cambria Math"/>
          </w:rPr>
          <m:t xml:space="preserve">i</m:t>
        </m:r>
      </m:oMath>
      <w:r>
        <w:rPr/>
        <w:t xml:space="preserve">, </w:t>
      </w:r>
      <w:r>
        <w:rPr/>
      </w:r>
      <m:oMath xmlns:m="http://schemas.openxmlformats.org/officeDocument/2006/math">
        <m:sSub>
          <m:e>
            <m:r>
              <w:rPr>
                <w:rFonts w:ascii="Cambria Math" w:hAnsi="Cambria Math"/>
              </w:rPr>
              <m:t xml:space="preserve">w</m:t>
            </m:r>
          </m:e>
          <m:sub>
            <m:r>
              <w:rPr>
                <w:rFonts w:ascii="Cambria Math" w:hAnsi="Cambria Math"/>
              </w:rPr>
              <m:t xml:space="preserve">i</m:t>
            </m:r>
          </m:sub>
        </m:sSub>
      </m:oMath>
      <w:r>
        <w:rPr/>
        <w:t xml:space="preserve"> represents the corresponding standard population weight, and </w:t>
      </w:r>
      <w:r>
        <w:rPr/>
      </w:r>
      <m:oMath xmlns:m="http://schemas.openxmlformats.org/officeDocument/2006/math">
        <m:r>
          <w:rPr>
            <w:rFonts w:ascii="Cambria Math" w:hAnsi="Cambria Math"/>
          </w:rPr>
          <m:t xml:space="preserve">A</m:t>
        </m:r>
      </m:oMath>
      <w:r>
        <w:rPr/>
        <w:t xml:space="preserve"> is the total number of age groups.</w:t>
      </w:r>
      <w:bookmarkEnd w:id="5"/>
    </w:p>
    <w:p>
      <w:pPr>
        <w:pStyle w:val="Heading2"/>
        <w:spacing w:lineRule="auto" w:line="480"/>
        <w:rPr/>
      </w:pPr>
      <w:bookmarkStart w:id="6" w:name="statistical-analysis"/>
      <w:r>
        <w:rPr/>
        <w:t xml:space="preserve">3.3 Statistical </w:t>
      </w:r>
      <w:r>
        <w:rPr>
          <w:b/>
          <w:bCs/>
        </w:rPr>
        <w:t>Analysis</w:t>
      </w:r>
    </w:p>
    <w:p>
      <w:pPr>
        <w:pStyle w:val="FirstParagraph"/>
        <w:spacing w:lineRule="auto" w:line="480"/>
        <w:rPr/>
      </w:pPr>
      <w:r>
        <w:rPr/>
        <w:t>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spacing w:lineRule="auto" w:line="480"/>
        <w:rPr/>
      </w:pPr>
      <w:r>
        <w:rPr/>
        <w:t>Uncertainty Intervals (UIs) reflect the GBD Bayesian modeling framework and are defined by the 2.5th and 97.5th percentiles of 1,000 posterior draws. These intervals account for multiple sources of uncertainty, including data sparsity, measurement error, and model specification (18).</w:t>
      </w:r>
    </w:p>
    <w:p>
      <w:pPr>
        <w:pStyle w:val="BodyText"/>
        <w:spacing w:lineRule="auto" w:line="480"/>
        <w:rPr/>
      </w:pPr>
      <w:r>
        <w:rPr/>
        <w:t xml:space="preserve">We used R v. 4.5.2 (21) and the following R packages: beepr v. 2.0 (22), flextable v. 0.9.10 (23), furrr v. 0.3.1 (24), future v. 1.68.0 (25), geofacet v. 0.2.5 (26), gganimate v. 1.0.11 (27), ggbump v. 0.1.0 (28), ggnewscale v. 0.5.2 (29), ggtext v. 0.1.2 (30), glue v. 1.8.0 (31), knitr v. 1.50 (32–34), officer v. 0.7.2 (35), paletteer v. 1.6.0 (36), patchwork v. 1.3.2 (37), renv v. 1.1.5 (38), rmarkdown v. 2.30 (39–41), scales v. 1.4.0 (42), svglite v. 2.2.2 (43), tidyverse v. 2.0.0 (44). To enable full reproducibility, complete analytic code, data-processing workflows, and supporting files are available in the study’s </w:t>
      </w:r>
      <w:hyperlink r:id="rId14">
        <w:r>
          <w:rPr>
            <w:rStyle w:val="Hyperlink"/>
          </w:rPr>
          <w:t>GitHub repository</w:t>
        </w:r>
      </w:hyperlink>
      <w:r>
        <w:rPr/>
        <w:t>.</w:t>
      </w:r>
    </w:p>
    <w:p>
      <w:pPr>
        <w:pStyle w:val="Heading3"/>
        <w:spacing w:lineRule="auto" w:line="480"/>
        <w:rPr/>
      </w:pPr>
      <w:bookmarkStart w:id="7" w:name="comparison-of-rates-using-uis"/>
      <w:r>
        <w:rPr/>
        <w:t>3.3.1 Comparison of Rates Using UIs</w:t>
      </w:r>
    </w:p>
    <w:p>
      <w:pPr>
        <w:pStyle w:val="FirstParagraph"/>
        <w:spacing w:lineRule="auto" w:line="480"/>
        <w:rPr/>
      </w:pPr>
      <w:r>
        <w:rPr/>
        <w:t>We calculated both absolute differences (</w:t>
      </w:r>
      <w:hyperlink w:anchor="sup-percentchange">
        <w:r>
          <w:rPr>
            <w:rStyle w:val="Hyperlink"/>
          </w:rPr>
          <w:t>Supporting Files</w:t>
        </w:r>
      </w:hyperlink>
      <w:r>
        <w:rPr/>
        <w:t>) and rate ratios (</w:t>
      </w:r>
      <w:hyperlink w:anchor="fig-discrep">
        <w:r>
          <w:rPr>
            <w:rStyle w:val="Hyperlink"/>
          </w:rPr>
          <w:t>Figure 5</w:t>
        </w:r>
      </w:hyperlink>
      <w:r>
        <w:rPr/>
        <w:t>) between male and female BC burden measures. Since draw-level estimates were not available from the GBD study, uncertainty for derived quantities was approximated analytically using standard methods for independent estimates (45,46). All calculations assumed approximate normality of the log-transformed rates, which is reasonable for age-standardized rates based on large population data (47).</w:t>
      </w:r>
    </w:p>
    <w:p>
      <w:pPr>
        <w:pStyle w:val="BodyText"/>
        <w:spacing w:lineRule="auto" w:line="480"/>
        <w:rPr/>
      </w:pPr>
      <w:r>
        <w:rPr/>
        <w:t xml:space="preserve">Let </w:t>
      </w:r>
      <w:r>
        <w:rPr/>
      </w:r>
      <m:oMath xmlns:m="http://schemas.openxmlformats.org/officeDocument/2006/math">
        <m:sSub>
          <m:e>
            <m:r>
              <w:rPr>
                <w:rFonts w:ascii="Cambria Math" w:hAnsi="Cambria Math"/>
              </w:rPr>
              <m:t xml:space="preserve">a</m:t>
            </m:r>
          </m:e>
          <m:sub>
            <m:r>
              <w:rPr>
                <w:rFonts w:ascii="Cambria Math" w:hAnsi="Cambria Math"/>
              </w:rPr>
              <m:t xml:space="preserve">1</m:t>
            </m:r>
          </m:sub>
        </m:sSub>
      </m:oMath>
      <w:r>
        <w:rPr/>
        <w:t xml:space="preserve"> and </w:t>
      </w:r>
      <w:r>
        <w:rPr/>
      </w:r>
      <m:oMath xmlns:m="http://schemas.openxmlformats.org/officeDocument/2006/math">
        <m:sSub>
          <m:e>
            <m:r>
              <w:rPr>
                <w:rFonts w:ascii="Cambria Math" w:hAnsi="Cambria Math"/>
              </w:rPr>
              <m:t xml:space="preserve">a</m:t>
            </m:r>
          </m:e>
          <m:sub>
            <m:r>
              <w:rPr>
                <w:rFonts w:ascii="Cambria Math" w:hAnsi="Cambria Math"/>
              </w:rPr>
              <m:t xml:space="preserve">2</m:t>
            </m:r>
          </m:sub>
        </m:sSub>
      </m:oMath>
      <w:r>
        <w:rPr/>
        <w:t xml:space="preserve"> represent two age-standardized rates with reported 95% UIs </w:t>
      </w:r>
      <w:r>
        <w:rPr/>
      </w:r>
      <m:oMath xmlns:m="http://schemas.openxmlformats.org/officeDocument/2006/math">
        <m:d>
          <m:dPr>
            <m:begChr m:val="["/>
            <m:endChr m:val="]"/>
          </m:dPr>
          <m:e>
            <m:sSub>
              <m:e>
                <m:r>
                  <w:rPr>
                    <w:rFonts w:ascii="Cambria Math" w:hAnsi="Cambria Math"/>
                  </w:rPr>
                  <m:t xml:space="preserve">l</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e>
        </m:d>
      </m:oMath>
      <w:r>
        <w:rPr/>
        <w:t xml:space="preserve"> and </w:t>
      </w:r>
      <w:r>
        <w:rPr/>
      </w:r>
      <m:oMath xmlns:m="http://schemas.openxmlformats.org/officeDocument/2006/math">
        <m:d>
          <m:dPr>
            <m:begChr m:val="["/>
            <m:endChr m:val="]"/>
          </m:dPr>
          <m:e>
            <m:sSub>
              <m:e>
                <m:r>
                  <w:rPr>
                    <w:rFonts w:ascii="Cambria Math" w:hAnsi="Cambria Math"/>
                  </w:rPr>
                  <m:t xml:space="preserve">l</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d>
      </m:oMath>
      <w:r>
        <w:rPr/>
        <w:t>. Standard errors were derived from the reported bounds:</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S</m:t>
          </m:r>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l</m:t>
                  </m:r>
                </m:e>
                <m:sub>
                  <m:r>
                    <w:rPr>
                      <w:rFonts w:ascii="Cambria Math" w:hAnsi="Cambria Math"/>
                    </w:rPr>
                    <m:t xml:space="preserve">1</m:t>
                  </m:r>
                </m:sub>
              </m:sSub>
            </m:num>
            <m:den>
              <m:r>
                <w:rPr>
                  <w:rFonts w:ascii="Cambria Math" w:hAnsi="Cambria Math"/>
                </w:rPr>
                <m:t xml:space="preserve">2</m:t>
              </m:r>
              <m:r>
                <w:rPr>
                  <w:rFonts w:ascii="Cambria Math" w:hAnsi="Cambria Math"/>
                </w:rPr>
                <m:t xml:space="preserve">×</m:t>
              </m:r>
              <m:sSub>
                <m:e>
                  <m:r>
                    <w:rPr>
                      <w:rFonts w:ascii="Cambria Math" w:hAnsi="Cambria Math"/>
                    </w:rPr>
                    <m:t xml:space="preserve">z</m:t>
                  </m:r>
                </m:e>
                <m:sub>
                  <m:r>
                    <w:rPr>
                      <w:rFonts w:ascii="Cambria Math" w:hAnsi="Cambria Math"/>
                    </w:rPr>
                    <m:t xml:space="preserve">0.975</m:t>
                  </m:r>
                </m:sub>
              </m:sSub>
            </m:den>
          </m:f>
          <m:r>
            <w:rPr>
              <w:rFonts w:ascii="Cambria Math" w:hAnsi="Cambria Math"/>
            </w:rPr>
            <m:t xml:space="preserve">,</m:t>
          </m:r>
          <m:r>
            <w:rPr>
              <w:rFonts w:ascii="Cambria Math" w:hAnsi="Cambria Math"/>
            </w:rPr>
            <m:t xml:space="preserve">S</m:t>
          </m:r>
          <m:sSub>
            <m:e>
              <m:r>
                <w:rPr>
                  <w:rFonts w:ascii="Cambria Math" w:hAnsi="Cambria Math"/>
                </w:rPr>
                <m:t xml:space="preserve">E</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l</m:t>
                  </m:r>
                </m:e>
                <m:sub>
                  <m:r>
                    <w:rPr>
                      <w:rFonts w:ascii="Cambria Math" w:hAnsi="Cambria Math"/>
                    </w:rPr>
                    <m:t xml:space="preserve">2</m:t>
                  </m:r>
                </m:sub>
              </m:sSub>
            </m:num>
            <m:den>
              <m:r>
                <w:rPr>
                  <w:rFonts w:ascii="Cambria Math" w:hAnsi="Cambria Math"/>
                </w:rPr>
                <m:t xml:space="preserve">2</m:t>
              </m:r>
              <m:r>
                <w:rPr>
                  <w:rFonts w:ascii="Cambria Math" w:hAnsi="Cambria Math"/>
                </w:rPr>
                <m:t xml:space="preserve">×</m:t>
              </m:r>
              <m:sSub>
                <m:e>
                  <m:r>
                    <w:rPr>
                      <w:rFonts w:ascii="Cambria Math" w:hAnsi="Cambria Math"/>
                    </w:rPr>
                    <m:t xml:space="preserve">z</m:t>
                  </m:r>
                </m:e>
                <m:sub>
                  <m:r>
                    <w:rPr>
                      <w:rFonts w:ascii="Cambria Math" w:hAnsi="Cambria Math"/>
                    </w:rPr>
                    <m:t xml:space="preserve">0.975</m:t>
                  </m:r>
                </m:sub>
              </m:sSub>
            </m:den>
          </m:f>
        </m:oMath>
      </m:oMathPara>
    </w:p>
    <w:p>
      <w:pPr>
        <w:pStyle w:val="FirstParagraph"/>
        <w:spacing w:lineRule="auto" w:line="480"/>
        <w:rPr/>
      </w:pPr>
      <w:r>
        <w:rPr/>
        <w:t xml:space="preserve">where </w:t>
      </w:r>
      <w:r>
        <w:rPr/>
      </w:r>
      <m:oMath xmlns:m="http://schemas.openxmlformats.org/officeDocument/2006/math">
        <m:sSub>
          <m:e>
            <m:r>
              <w:rPr>
                <w:rFonts w:ascii="Cambria Math" w:hAnsi="Cambria Math"/>
              </w:rPr>
              <m:t xml:space="preserve">z</m:t>
            </m:r>
          </m:e>
          <m:sub>
            <m:r>
              <w:rPr>
                <w:rFonts w:ascii="Cambria Math" w:hAnsi="Cambria Math"/>
              </w:rPr>
              <m:t xml:space="preserve">0.975</m:t>
            </m:r>
          </m:sub>
        </m:sSub>
        <m:r>
          <w:rPr>
            <w:rFonts w:ascii="Cambria Math" w:hAnsi="Cambria Math"/>
          </w:rPr>
          <m:t xml:space="preserve">≈</m:t>
        </m:r>
        <m:r>
          <w:rPr>
            <w:rFonts w:ascii="Cambria Math" w:hAnsi="Cambria Math"/>
          </w:rPr>
          <m:t xml:space="preserve">1.96</m:t>
        </m:r>
      </m:oMath>
      <w:r>
        <w:rPr/>
        <w:t xml:space="preserve"> is the 97.5th percentile of the standard normal distribution.</w:t>
      </w:r>
    </w:p>
    <w:p>
      <w:pPr>
        <w:pStyle w:val="BodyText"/>
        <w:spacing w:lineRule="auto" w:line="480"/>
        <w:rPr/>
      </w:pPr>
      <w:r>
        <w:rPr/>
        <w:t>The absolute difference was calculated as:</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D</m:t>
          </m:r>
          <m:r>
            <m:rPr>
              <m:lit/>
              <m:nor/>
            </m:rP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oMath>
      </m:oMathPara>
    </w:p>
    <w:p>
      <w:pPr>
        <w:pStyle w:val="FirstParagraph"/>
        <w:spacing w:lineRule="auto" w:line="480"/>
        <w:rPr/>
      </w:pPr>
      <w:r>
        <w:rPr/>
        <w:t>Under the assumption of independence between rates, the standard error of the difference was:</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S</m:t>
          </m:r>
          <m:sSub>
            <m:e>
              <m:r>
                <w:rPr>
                  <w:rFonts w:ascii="Cambria Math" w:hAnsi="Cambria Math"/>
                </w:rPr>
                <m:t xml:space="preserve">E</m:t>
              </m:r>
            </m:e>
            <m:sub>
              <m:r>
                <w:rPr>
                  <w:rFonts w:ascii="Cambria Math" w:hAnsi="Cambria Math"/>
                </w:rPr>
                <m:t xml:space="preserve">D</m:t>
              </m:r>
            </m:sub>
          </m:sSub>
          <m:r>
            <m:rPr>
              <m:lit/>
              <m:nor/>
            </m:rPr>
            <w:rPr>
              <w:rFonts w:ascii="Cambria Math" w:hAnsi="Cambria Math"/>
            </w:rPr>
            <m:t xml:space="preserve">=</m:t>
          </m:r>
          <m:rad>
            <m:radPr>
              <m:degHide m:val="1"/>
            </m:radPr>
            <m:deg/>
            <m:e>
              <m:r>
                <w:rPr>
                  <w:rFonts w:ascii="Cambria Math" w:hAnsi="Cambria Math"/>
                </w:rPr>
                <m:t xml:space="preserve">S</m:t>
              </m:r>
              <m:sSubSup>
                <m:e>
                  <m:r>
                    <w:rPr>
                      <w:rFonts w:ascii="Cambria Math" w:hAnsi="Cambria Math"/>
                    </w:rPr>
                    <m:t xml:space="preserve">E</m:t>
                  </m:r>
                </m:e>
                <m:sub>
                  <m:r>
                    <w:rPr>
                      <w:rFonts w:ascii="Cambria Math" w:hAnsi="Cambria Math"/>
                    </w:rPr>
                    <m:t xml:space="preserve">1</m:t>
                  </m:r>
                </m:sub>
                <m:sup>
                  <m:r>
                    <w:rPr>
                      <w:rFonts w:ascii="Cambria Math" w:hAnsi="Cambria Math"/>
                    </w:rPr>
                    <m:t xml:space="preserve">2</m:t>
                  </m:r>
                </m:sup>
              </m:sSubSup>
              <m:r>
                <m:rPr>
                  <m:lit/>
                  <m:nor/>
                </m:rPr>
                <w:rPr>
                  <w:rFonts w:ascii="Cambria Math" w:hAnsi="Cambria Math"/>
                </w:rPr>
                <m:t xml:space="preserve">+</m:t>
              </m:r>
              <m:r>
                <w:rPr>
                  <w:rFonts w:ascii="Cambria Math" w:hAnsi="Cambria Math"/>
                </w:rPr>
                <m:t xml:space="preserve">S</m:t>
              </m:r>
              <m:sSubSup>
                <m:e>
                  <m:r>
                    <w:rPr>
                      <w:rFonts w:ascii="Cambria Math" w:hAnsi="Cambria Math"/>
                    </w:rPr>
                    <m:t xml:space="preserve">E</m:t>
                  </m:r>
                </m:e>
                <m:sub>
                  <m:r>
                    <w:rPr>
                      <w:rFonts w:ascii="Cambria Math" w:hAnsi="Cambria Math"/>
                    </w:rPr>
                    <m:t xml:space="preserve">2</m:t>
                  </m:r>
                </m:sub>
                <m:sup>
                  <m:r>
                    <w:rPr>
                      <w:rFonts w:ascii="Cambria Math" w:hAnsi="Cambria Math"/>
                    </w:rPr>
                    <m:t xml:space="preserve">2</m:t>
                  </m:r>
                </m:sup>
              </m:sSubSup>
            </m:e>
          </m:rad>
        </m:oMath>
      </m:oMathPara>
    </w:p>
    <w:p>
      <w:pPr>
        <w:pStyle w:val="FirstParagraph"/>
        <w:spacing w:lineRule="auto" w:line="480"/>
        <w:rPr/>
      </w:pPr>
      <w:r>
        <w:rPr/>
        <w:t>The corresponding 95% UI was then obtained as:</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sSub>
            <m:e>
              <m:r>
                <w:rPr>
                  <w:rFonts w:ascii="Cambria Math" w:hAnsi="Cambria Math"/>
                </w:rPr>
                <m:t xml:space="preserve">z</m:t>
              </m:r>
            </m:e>
            <m:sub>
              <m:r>
                <w:rPr>
                  <w:rFonts w:ascii="Cambria Math" w:hAnsi="Cambria Math"/>
                </w:rPr>
                <m:t xml:space="preserve">0.975</m:t>
              </m:r>
            </m:sub>
          </m:sSub>
          <m:r>
            <w:rPr>
              <w:rFonts w:ascii="Cambria Math" w:hAnsi="Cambria Math"/>
            </w:rPr>
            <m:t xml:space="preserve">×</m:t>
          </m:r>
          <m:r>
            <w:rPr>
              <w:rFonts w:ascii="Cambria Math" w:hAnsi="Cambria Math"/>
            </w:rPr>
            <m:t xml:space="preserve">S</m:t>
          </m:r>
          <m:sSub>
            <m:e>
              <m:r>
                <w:rPr>
                  <w:rFonts w:ascii="Cambria Math" w:hAnsi="Cambria Math"/>
                </w:rPr>
                <m:t xml:space="preserve">E</m:t>
              </m:r>
            </m:e>
            <m:sub>
              <m:r>
                <w:rPr>
                  <w:rFonts w:ascii="Cambria Math" w:hAnsi="Cambria Math"/>
                </w:rPr>
                <m:t xml:space="preserve">D</m:t>
              </m:r>
            </m:sub>
          </m:sSub>
        </m:oMath>
      </m:oMathPara>
    </w:p>
    <w:p>
      <w:pPr>
        <w:pStyle w:val="FirstParagraph"/>
        <w:spacing w:lineRule="auto" w:line="480"/>
        <w:rPr/>
      </w:pPr>
      <w:r>
        <w:rPr/>
        <w:t>For relative comparisons, rate ratios were estimated on the logarithmic scale to account for the inherently multiplicative nature and right-skewed distribution of ratios (46). The rate ratio was defined as:</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R</m:t>
          </m:r>
          <m:r>
            <m:rPr>
              <m:lit/>
              <m:nor/>
            </m:rPr>
            <w:rPr>
              <w:rFonts w:ascii="Cambria Math" w:hAnsi="Cambria Math"/>
            </w:rPr>
            <m:t xml:space="preserve">=</m:t>
          </m:r>
          <m:f>
            <m:num>
              <m:sSub>
                <m:e>
                  <m:r>
                    <w:rPr>
                      <w:rFonts w:ascii="Cambria Math" w:hAnsi="Cambria Math"/>
                    </w:rPr>
                    <m:t xml:space="preserve">a</m:t>
                  </m:r>
                </m:e>
                <m:sub>
                  <m:r>
                    <w:rPr>
                      <w:rFonts w:ascii="Cambria Math" w:hAnsi="Cambria Math"/>
                    </w:rPr>
                    <m:t xml:space="preserve">1</m:t>
                  </m:r>
                </m:sub>
              </m:sSub>
            </m:num>
            <m:den>
              <m:sSub>
                <m:e>
                  <m:r>
                    <w:rPr>
                      <w:rFonts w:ascii="Cambria Math" w:hAnsi="Cambria Math"/>
                    </w:rPr>
                    <m:t xml:space="preserve">a</m:t>
                  </m:r>
                </m:e>
                <m:sub>
                  <m:r>
                    <w:rPr>
                      <w:rFonts w:ascii="Cambria Math" w:hAnsi="Cambria Math"/>
                    </w:rPr>
                    <m:t xml:space="preserve">2</m:t>
                  </m:r>
                </m:sub>
              </m:sSub>
            </m:den>
          </m:f>
        </m:oMath>
      </m:oMathPara>
    </w:p>
    <w:p>
      <w:pPr>
        <w:pStyle w:val="FirstParagraph"/>
        <w:spacing w:lineRule="auto" w:line="480"/>
        <w:rPr/>
      </w:pPr>
      <w:r>
        <w:rPr/>
        <w:t>Standard errors on the log scale were approximated using the delta method:</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S</m:t>
          </m:r>
          <m:sSub>
            <m:e>
              <m:r>
                <w:rPr>
                  <w:rFonts w:ascii="Cambria Math" w:hAnsi="Cambria Math"/>
                </w:rPr>
                <m:t xml:space="preserve">E</m:t>
              </m:r>
            </m:e>
            <m:sub>
              <m:r>
                <w:rPr>
                  <w:rFonts w:ascii="Cambria Math" w:hAnsi="Cambria Math"/>
                </w:rPr>
                <m:t xml:space="preserve">log</m:t>
              </m:r>
              <m:d>
                <m:dPr>
                  <m:begChr m:val="("/>
                  <m:endChr m:val=")"/>
                </m:dPr>
                <m:e>
                  <m:sSub>
                    <m:e>
                      <m:r>
                        <w:rPr>
                          <w:rFonts w:ascii="Cambria Math" w:hAnsi="Cambria Math"/>
                        </w:rPr>
                        <m:t xml:space="preserve">a</m:t>
                      </m:r>
                    </m:e>
                    <m:sub>
                      <m:r>
                        <w:rPr>
                          <w:rFonts w:ascii="Cambria Math" w:hAnsi="Cambria Math"/>
                        </w:rPr>
                        <m:t xml:space="preserve">1</m:t>
                      </m:r>
                    </m:sub>
                  </m:sSub>
                </m:e>
              </m:d>
            </m:sub>
          </m:sSub>
          <m:r>
            <w:rPr>
              <w:rFonts w:ascii="Cambria Math" w:hAnsi="Cambria Math"/>
            </w:rPr>
            <m:t xml:space="preserve">≈</m:t>
          </m:r>
          <m:f>
            <m:num>
              <m:r>
                <w:rPr>
                  <w:rFonts w:ascii="Cambria Math" w:hAnsi="Cambria Math"/>
                </w:rPr>
                <m:t xml:space="preserve">log</m:t>
              </m:r>
              <m:d>
                <m:dPr>
                  <m:begChr m:val="("/>
                  <m:endChr m:val=")"/>
                </m:dPr>
                <m:e>
                  <m:sSub>
                    <m:e>
                      <m:r>
                        <w:rPr>
                          <w:rFonts w:ascii="Cambria Math" w:hAnsi="Cambria Math"/>
                        </w:rPr>
                        <m:t xml:space="preserve">u</m:t>
                      </m:r>
                    </m:e>
                    <m:sub>
                      <m:r>
                        <w:rPr>
                          <w:rFonts w:ascii="Cambria Math" w:hAnsi="Cambria Math"/>
                        </w:rPr>
                        <m:t xml:space="preserve">1</m:t>
                      </m:r>
                    </m:sub>
                  </m:sSub>
                </m:e>
              </m:d>
              <m:r>
                <w:rPr>
                  <w:rFonts w:ascii="Cambria Math" w:hAnsi="Cambria Math"/>
                </w:rPr>
                <m:t xml:space="preserve">−</m:t>
              </m:r>
              <m:r>
                <w:rPr>
                  <w:rFonts w:ascii="Cambria Math" w:hAnsi="Cambria Math"/>
                </w:rPr>
                <m:t xml:space="preserve">log</m:t>
              </m:r>
              <m:d>
                <m:dPr>
                  <m:begChr m:val="("/>
                  <m:endChr m:val=")"/>
                </m:dPr>
                <m:e>
                  <m:sSub>
                    <m:e>
                      <m:r>
                        <w:rPr>
                          <w:rFonts w:ascii="Cambria Math" w:hAnsi="Cambria Math"/>
                        </w:rPr>
                        <m:t xml:space="preserve">l</m:t>
                      </m:r>
                    </m:e>
                    <m:sub>
                      <m:r>
                        <w:rPr>
                          <w:rFonts w:ascii="Cambria Math" w:hAnsi="Cambria Math"/>
                        </w:rPr>
                        <m:t xml:space="preserve">1</m:t>
                      </m:r>
                    </m:sub>
                  </m:sSub>
                </m:e>
              </m:d>
            </m:num>
            <m:den>
              <m:r>
                <w:rPr>
                  <w:rFonts w:ascii="Cambria Math" w:hAnsi="Cambria Math"/>
                </w:rPr>
                <m:t xml:space="preserve">2</m:t>
              </m:r>
              <m:r>
                <w:rPr>
                  <w:rFonts w:ascii="Cambria Math" w:hAnsi="Cambria Math"/>
                </w:rPr>
                <m:t xml:space="preserve">×</m:t>
              </m:r>
              <m:sSub>
                <m:e>
                  <m:r>
                    <w:rPr>
                      <w:rFonts w:ascii="Cambria Math" w:hAnsi="Cambria Math"/>
                    </w:rPr>
                    <m:t xml:space="preserve">z</m:t>
                  </m:r>
                </m:e>
                <m:sub>
                  <m:r>
                    <w:rPr>
                      <w:rFonts w:ascii="Cambria Math" w:hAnsi="Cambria Math"/>
                    </w:rPr>
                    <m:t xml:space="preserve">0.975</m:t>
                  </m:r>
                </m:sub>
              </m:sSub>
            </m:den>
          </m:f>
          <m:r>
            <w:rPr>
              <w:rFonts w:ascii="Cambria Math" w:hAnsi="Cambria Math"/>
            </w:rPr>
            <m:t xml:space="preserve">,</m:t>
          </m:r>
          <m:r>
            <w:rPr>
              <w:rFonts w:ascii="Cambria Math" w:hAnsi="Cambria Math"/>
            </w:rPr>
            <m:t xml:space="preserve">S</m:t>
          </m:r>
          <m:sSub>
            <m:e>
              <m:r>
                <w:rPr>
                  <w:rFonts w:ascii="Cambria Math" w:hAnsi="Cambria Math"/>
                </w:rPr>
                <m:t xml:space="preserve">E</m:t>
              </m:r>
            </m:e>
            <m:sub>
              <m:r>
                <w:rPr>
                  <w:rFonts w:ascii="Cambria Math" w:hAnsi="Cambria Math"/>
                </w:rPr>
                <m:t xml:space="preserve">log</m:t>
              </m:r>
              <m:d>
                <m:dPr>
                  <m:begChr m:val="("/>
                  <m:endChr m:val=")"/>
                </m:dPr>
                <m:e>
                  <m:sSub>
                    <m:e>
                      <m:r>
                        <w:rPr>
                          <w:rFonts w:ascii="Cambria Math" w:hAnsi="Cambria Math"/>
                        </w:rPr>
                        <m:t xml:space="preserve">a</m:t>
                      </m:r>
                    </m:e>
                    <m:sub>
                      <m:r>
                        <w:rPr>
                          <w:rFonts w:ascii="Cambria Math" w:hAnsi="Cambria Math"/>
                        </w:rPr>
                        <m:t xml:space="preserve">2</m:t>
                      </m:r>
                    </m:sub>
                  </m:sSub>
                </m:e>
              </m:d>
            </m:sub>
          </m:sSub>
          <m:r>
            <w:rPr>
              <w:rFonts w:ascii="Cambria Math" w:hAnsi="Cambria Math"/>
            </w:rPr>
            <m:t xml:space="preserve">≈</m:t>
          </m:r>
          <m:f>
            <m:num>
              <m:r>
                <w:rPr>
                  <w:rFonts w:ascii="Cambria Math" w:hAnsi="Cambria Math"/>
                </w:rPr>
                <m:t xml:space="preserve">log</m:t>
              </m:r>
              <m:d>
                <m:dPr>
                  <m:begChr m:val="("/>
                  <m:endChr m:val=")"/>
                </m:dPr>
                <m:e>
                  <m:sSub>
                    <m:e>
                      <m:r>
                        <w:rPr>
                          <w:rFonts w:ascii="Cambria Math" w:hAnsi="Cambria Math"/>
                        </w:rPr>
                        <m:t xml:space="preserve">u</m:t>
                      </m:r>
                    </m:e>
                    <m:sub>
                      <m:r>
                        <w:rPr>
                          <w:rFonts w:ascii="Cambria Math" w:hAnsi="Cambria Math"/>
                        </w:rPr>
                        <m:t xml:space="preserve">2</m:t>
                      </m:r>
                    </m:sub>
                  </m:sSub>
                </m:e>
              </m:d>
              <m:r>
                <w:rPr>
                  <w:rFonts w:ascii="Cambria Math" w:hAnsi="Cambria Math"/>
                </w:rPr>
                <m:t xml:space="preserve">−</m:t>
              </m:r>
              <m:r>
                <w:rPr>
                  <w:rFonts w:ascii="Cambria Math" w:hAnsi="Cambria Math"/>
                </w:rPr>
                <m:t xml:space="preserve">log</m:t>
              </m:r>
              <m:d>
                <m:dPr>
                  <m:begChr m:val="("/>
                  <m:endChr m:val=")"/>
                </m:dPr>
                <m:e>
                  <m:sSub>
                    <m:e>
                      <m:r>
                        <w:rPr>
                          <w:rFonts w:ascii="Cambria Math" w:hAnsi="Cambria Math"/>
                        </w:rPr>
                        <m:t xml:space="preserve">l</m:t>
                      </m:r>
                    </m:e>
                    <m:sub>
                      <m:r>
                        <w:rPr>
                          <w:rFonts w:ascii="Cambria Math" w:hAnsi="Cambria Math"/>
                        </w:rPr>
                        <m:t xml:space="preserve">2</m:t>
                      </m:r>
                    </m:sub>
                  </m:sSub>
                </m:e>
              </m:d>
            </m:num>
            <m:den>
              <m:r>
                <w:rPr>
                  <w:rFonts w:ascii="Cambria Math" w:hAnsi="Cambria Math"/>
                </w:rPr>
                <m:t xml:space="preserve">2</m:t>
              </m:r>
              <m:r>
                <w:rPr>
                  <w:rFonts w:ascii="Cambria Math" w:hAnsi="Cambria Math"/>
                </w:rPr>
                <m:t xml:space="preserve">×</m:t>
              </m:r>
              <m:sSub>
                <m:e>
                  <m:r>
                    <w:rPr>
                      <w:rFonts w:ascii="Cambria Math" w:hAnsi="Cambria Math"/>
                    </w:rPr>
                    <m:t xml:space="preserve">z</m:t>
                  </m:r>
                </m:e>
                <m:sub>
                  <m:r>
                    <w:rPr>
                      <w:rFonts w:ascii="Cambria Math" w:hAnsi="Cambria Math"/>
                    </w:rPr>
                    <m:t xml:space="preserve">0.975</m:t>
                  </m:r>
                </m:sub>
              </m:sSub>
            </m:den>
          </m:f>
        </m:oMath>
      </m:oMathPara>
    </w:p>
    <w:p>
      <w:pPr>
        <w:pStyle w:val="FirstParagraph"/>
        <w:spacing w:lineRule="auto" w:line="480"/>
        <w:rPr/>
      </w:pPr>
      <w:r>
        <w:rPr/>
        <w:t>The log-transformed ratio and its standard error were calculated as:</w:t>
      </w:r>
    </w:p>
    <w:p>
      <w:pPr>
        <w:pStyle w:val="BodyText"/>
        <w:spacing w:lineRule="auto" w:line="480"/>
        <w:jc w:val="center"/>
        <w:rPr/>
      </w:pPr>
      <w:r>
        <w:rPr/>
      </w:r>
      <m:oMathPara xmlns:m="http://schemas.openxmlformats.org/officeDocument/2006/math">
        <m:oMathParaPr>
          <m:jc m:val="center"/>
        </m:oMathParaPr>
        <m:oMath>
          <m:r>
            <w:rPr>
              <w:rFonts w:ascii="Cambria Math" w:hAnsi="Cambria Math"/>
            </w:rPr>
            <m:t xml:space="preserve">log</m:t>
          </m:r>
          <m:d>
            <m:dPr>
              <m:begChr m:val="("/>
              <m:endChr m:val=")"/>
            </m:dPr>
            <m:e>
              <m:r>
                <w:rPr>
                  <w:rFonts w:ascii="Cambria Math" w:hAnsi="Cambria Math"/>
                </w:rPr>
                <m:t xml:space="preserve">R</m:t>
              </m:r>
            </m:e>
          </m:d>
          <m:r>
            <m:rPr>
              <m:lit/>
              <m:nor/>
            </m:rPr>
            <w:rPr>
              <w:rFonts w:ascii="Cambria Math" w:hAnsi="Cambria Math"/>
            </w:rPr>
            <m:t xml:space="preserve">=</m:t>
          </m:r>
          <m:r>
            <w:rPr>
              <w:rFonts w:ascii="Cambria Math" w:hAnsi="Cambria Math"/>
            </w:rPr>
            <m:t xml:space="preserve">log</m:t>
          </m:r>
          <m:d>
            <m:dPr>
              <m:begChr m:val="("/>
              <m:endChr m:val=")"/>
            </m:dPr>
            <m:e>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m:t>
          </m:r>
          <m:r>
            <w:rPr>
              <w:rFonts w:ascii="Cambria Math" w:hAnsi="Cambria Math"/>
            </w:rPr>
            <m:t xml:space="preserve">log</m:t>
          </m:r>
          <m:d>
            <m:dPr>
              <m:begChr m:val="("/>
              <m:endChr m:val=")"/>
            </m:dPr>
            <m:e>
              <m:sSub>
                <m:e>
                  <m:r>
                    <w:rPr>
                      <w:rFonts w:ascii="Cambria Math" w:hAnsi="Cambria Math"/>
                    </w:rPr>
                    <m:t xml:space="preserve">a</m:t>
                  </m:r>
                </m:e>
                <m:sub>
                  <m:r>
                    <w:rPr>
                      <w:rFonts w:ascii="Cambria Math" w:hAnsi="Cambria Math"/>
                    </w:rPr>
                    <m:t xml:space="preserve">2</m:t>
                  </m:r>
                </m:sub>
              </m:sSub>
            </m:e>
          </m:d>
          <m:r>
            <w:rPr>
              <w:rFonts w:ascii="Cambria Math" w:hAnsi="Cambria Math"/>
            </w:rPr>
            <m:t xml:space="preserve">,</m:t>
          </m:r>
          <m:r>
            <w:rPr>
              <w:rFonts w:ascii="Cambria Math" w:hAnsi="Cambria Math"/>
            </w:rPr>
            <m:t xml:space="preserve">S</m:t>
          </m:r>
          <m:sSub>
            <m:e>
              <m:r>
                <w:rPr>
                  <w:rFonts w:ascii="Cambria Math" w:hAnsi="Cambria Math"/>
                </w:rPr>
                <m:t xml:space="preserve">E</m:t>
              </m:r>
            </m:e>
            <m:sub>
              <m:r>
                <w:rPr>
                  <w:rFonts w:ascii="Cambria Math" w:hAnsi="Cambria Math"/>
                </w:rPr>
                <m:t xml:space="preserve">log</m:t>
              </m:r>
              <m:d>
                <m:dPr>
                  <m:begChr m:val="("/>
                  <m:endChr m:val=")"/>
                </m:dPr>
                <m:e>
                  <m:r>
                    <w:rPr>
                      <w:rFonts w:ascii="Cambria Math" w:hAnsi="Cambria Math"/>
                    </w:rPr>
                    <m:t xml:space="preserve">R</m:t>
                  </m:r>
                </m:e>
              </m:d>
            </m:sub>
          </m:sSub>
          <m:r>
            <m:rPr>
              <m:lit/>
              <m:nor/>
            </m:rPr>
            <w:rPr>
              <w:rFonts w:ascii="Cambria Math" w:hAnsi="Cambria Math"/>
            </w:rPr>
            <m:t xml:space="preserve">=</m:t>
          </m:r>
          <m:rad>
            <m:radPr>
              <m:degHide m:val="1"/>
            </m:radPr>
            <m:deg/>
            <m:e>
              <m:r>
                <w:rPr>
                  <w:rFonts w:ascii="Cambria Math" w:hAnsi="Cambria Math"/>
                </w:rPr>
                <m:t xml:space="preserve">S</m:t>
              </m:r>
              <m:sSubSup>
                <m:e>
                  <m:r>
                    <w:rPr>
                      <w:rFonts w:ascii="Cambria Math" w:hAnsi="Cambria Math"/>
                    </w:rPr>
                    <m:t xml:space="preserve">E</m:t>
                  </m:r>
                </m:e>
                <m:sub>
                  <m:r>
                    <w:rPr>
                      <w:rFonts w:ascii="Cambria Math" w:hAnsi="Cambria Math"/>
                    </w:rPr>
                    <m:t xml:space="preserve">log</m:t>
                  </m:r>
                  <m:d>
                    <m:dPr>
                      <m:begChr m:val="("/>
                      <m:endChr m:val=")"/>
                    </m:dPr>
                    <m:e>
                      <m:sSub>
                        <m:e>
                          <m:r>
                            <w:rPr>
                              <w:rFonts w:ascii="Cambria Math" w:hAnsi="Cambria Math"/>
                            </w:rPr>
                            <m:t xml:space="preserve">a</m:t>
                          </m:r>
                        </m:e>
                        <m:sub>
                          <m:r>
                            <w:rPr>
                              <w:rFonts w:ascii="Cambria Math" w:hAnsi="Cambria Math"/>
                            </w:rPr>
                            <m:t xml:space="preserve">1</m:t>
                          </m:r>
                        </m:sub>
                      </m:sSub>
                    </m:e>
                  </m:d>
                </m:sub>
                <m:sup>
                  <m:r>
                    <w:rPr>
                      <w:rFonts w:ascii="Cambria Math" w:hAnsi="Cambria Math"/>
                    </w:rPr>
                    <m:t xml:space="preserve">2</m:t>
                  </m:r>
                </m:sup>
              </m:sSubSup>
              <m:r>
                <m:rPr>
                  <m:lit/>
                  <m:nor/>
                </m:rPr>
                <w:rPr>
                  <w:rFonts w:ascii="Cambria Math" w:hAnsi="Cambria Math"/>
                </w:rPr>
                <m:t xml:space="preserve">+</m:t>
              </m:r>
              <m:r>
                <w:rPr>
                  <w:rFonts w:ascii="Cambria Math" w:hAnsi="Cambria Math"/>
                </w:rPr>
                <m:t xml:space="preserve">S</m:t>
              </m:r>
              <m:sSubSup>
                <m:e>
                  <m:r>
                    <w:rPr>
                      <w:rFonts w:ascii="Cambria Math" w:hAnsi="Cambria Math"/>
                    </w:rPr>
                    <m:t xml:space="preserve">E</m:t>
                  </m:r>
                </m:e>
                <m:sub>
                  <m:r>
                    <w:rPr>
                      <w:rFonts w:ascii="Cambria Math" w:hAnsi="Cambria Math"/>
                    </w:rPr>
                    <m:t xml:space="preserve">log</m:t>
                  </m:r>
                  <m:d>
                    <m:dPr>
                      <m:begChr m:val="("/>
                      <m:endChr m:val=")"/>
                    </m:dPr>
                    <m:e>
                      <m:sSub>
                        <m:e>
                          <m:r>
                            <w:rPr>
                              <w:rFonts w:ascii="Cambria Math" w:hAnsi="Cambria Math"/>
                            </w:rPr>
                            <m:t xml:space="preserve">a</m:t>
                          </m:r>
                        </m:e>
                        <m:sub>
                          <m:r>
                            <w:rPr>
                              <w:rFonts w:ascii="Cambria Math" w:hAnsi="Cambria Math"/>
                            </w:rPr>
                            <m:t xml:space="preserve">2</m:t>
                          </m:r>
                        </m:sub>
                      </m:sSub>
                    </m:e>
                  </m:d>
                </m:sub>
                <m:sup>
                  <m:r>
                    <w:rPr>
                      <w:rFonts w:ascii="Cambria Math" w:hAnsi="Cambria Math"/>
                    </w:rPr>
                    <m:t xml:space="preserve">2</m:t>
                  </m:r>
                </m:sup>
              </m:sSubSup>
            </m:e>
          </m:rad>
        </m:oMath>
      </m:oMathPara>
    </w:p>
    <w:p>
      <w:pPr>
        <w:pStyle w:val="FirstParagraph"/>
        <w:spacing w:lineRule="auto" w:line="480"/>
        <w:rPr/>
      </w:pPr>
      <w:r>
        <w:rPr/>
        <w:t>The 95% UIs for the ratio was obtained by back-transformation:</w:t>
      </w:r>
    </w:p>
    <w:p>
      <w:pPr>
        <w:pStyle w:val="BodyText"/>
        <w:spacing w:lineRule="auto" w:line="480"/>
        <w:jc w:val="center"/>
        <w:rPr/>
      </w:pPr>
      <w:r>
        <w:rPr/>
      </w:r>
      <m:oMathPara xmlns:m="http://schemas.openxmlformats.org/officeDocument/2006/math">
        <m:oMathParaPr>
          <m:jc m:val="center"/>
        </m:oMathParaPr>
        <m:oMath>
          <m:d>
            <m:dPr>
              <m:begChr m:val="["/>
              <m:endChr m:val="]"/>
            </m:dPr>
            <m:e>
              <m:r>
                <w:rPr>
                  <w:rFonts w:ascii="Cambria Math" w:hAnsi="Cambria Math"/>
                </w:rPr>
                <m:t xml:space="preserve">exp</m:t>
              </m:r>
              <m:d>
                <m:dPr>
                  <m:begChr m:val="("/>
                  <m:endChr m:val=")"/>
                </m:dPr>
                <m:e>
                  <m:r>
                    <w:rPr>
                      <w:rFonts w:ascii="Cambria Math" w:hAnsi="Cambria Math"/>
                    </w:rPr>
                    <m:t xml:space="preserve">log</m:t>
                  </m:r>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z</m:t>
                      </m:r>
                    </m:e>
                    <m:sub>
                      <m:r>
                        <w:rPr>
                          <w:rFonts w:ascii="Cambria Math" w:hAnsi="Cambria Math"/>
                        </w:rPr>
                        <m:t xml:space="preserve">0.975</m:t>
                      </m:r>
                    </m:sub>
                  </m:sSub>
                  <m:r>
                    <w:rPr>
                      <w:rFonts w:ascii="Cambria Math" w:hAnsi="Cambria Math"/>
                    </w:rPr>
                    <m:t xml:space="preserve">×</m:t>
                  </m:r>
                  <m:r>
                    <w:rPr>
                      <w:rFonts w:ascii="Cambria Math" w:hAnsi="Cambria Math"/>
                    </w:rPr>
                    <m:t xml:space="preserve">S</m:t>
                  </m:r>
                  <m:sSub>
                    <m:e>
                      <m:r>
                        <w:rPr>
                          <w:rFonts w:ascii="Cambria Math" w:hAnsi="Cambria Math"/>
                        </w:rPr>
                        <m:t xml:space="preserve">E</m:t>
                      </m:r>
                    </m:e>
                    <m:sub>
                      <m:r>
                        <w:rPr>
                          <w:rFonts w:ascii="Cambria Math" w:hAnsi="Cambria Math"/>
                        </w:rPr>
                        <m:t xml:space="preserve">log</m:t>
                      </m:r>
                      <m:d>
                        <m:dPr>
                          <m:begChr m:val="("/>
                          <m:endChr m:val=")"/>
                        </m:dPr>
                        <m:e>
                          <m:r>
                            <w:rPr>
                              <w:rFonts w:ascii="Cambria Math" w:hAnsi="Cambria Math"/>
                            </w:rPr>
                            <m:t xml:space="preserve">R</m:t>
                          </m:r>
                        </m:e>
                      </m:d>
                    </m:sub>
                  </m:sSub>
                </m:e>
              </m:d>
              <m:r>
                <w:rPr>
                  <w:rFonts w:ascii="Cambria Math" w:hAnsi="Cambria Math"/>
                </w:rPr>
                <m:t xml:space="preserve">,</m:t>
              </m:r>
              <m:r>
                <w:rPr>
                  <w:rFonts w:ascii="Cambria Math" w:hAnsi="Cambria Math"/>
                </w:rPr>
                <m:t xml:space="preserve">exp</m:t>
              </m:r>
              <m:d>
                <m:dPr>
                  <m:begChr m:val="("/>
                  <m:endChr m:val=")"/>
                </m:dPr>
                <m:e>
                  <m:r>
                    <w:rPr>
                      <w:rFonts w:ascii="Cambria Math" w:hAnsi="Cambria Math"/>
                    </w:rPr>
                    <m:t xml:space="preserve">log</m:t>
                  </m:r>
                  <m:d>
                    <m:dPr>
                      <m:begChr m:val="("/>
                      <m:endChr m:val=")"/>
                    </m:dPr>
                    <m:e>
                      <m:r>
                        <w:rPr>
                          <w:rFonts w:ascii="Cambria Math" w:hAnsi="Cambria Math"/>
                        </w:rPr>
                        <m:t xml:space="preserve">R</m:t>
                      </m:r>
                    </m:e>
                  </m:d>
                  <m:r>
                    <m:rPr>
                      <m:lit/>
                      <m:nor/>
                    </m:rPr>
                    <w:rPr>
                      <w:rFonts w:ascii="Cambria Math" w:hAnsi="Cambria Math"/>
                    </w:rPr>
                    <m:t xml:space="preserve">+</m:t>
                  </m:r>
                  <m:sSub>
                    <m:e>
                      <m:r>
                        <w:rPr>
                          <w:rFonts w:ascii="Cambria Math" w:hAnsi="Cambria Math"/>
                        </w:rPr>
                        <m:t xml:space="preserve">z</m:t>
                      </m:r>
                    </m:e>
                    <m:sub>
                      <m:r>
                        <w:rPr>
                          <w:rFonts w:ascii="Cambria Math" w:hAnsi="Cambria Math"/>
                        </w:rPr>
                        <m:t xml:space="preserve">0.975</m:t>
                      </m:r>
                    </m:sub>
                  </m:sSub>
                  <m:r>
                    <w:rPr>
                      <w:rFonts w:ascii="Cambria Math" w:hAnsi="Cambria Math"/>
                    </w:rPr>
                    <m:t xml:space="preserve">×</m:t>
                  </m:r>
                  <m:r>
                    <w:rPr>
                      <w:rFonts w:ascii="Cambria Math" w:hAnsi="Cambria Math"/>
                    </w:rPr>
                    <m:t xml:space="preserve">S</m:t>
                  </m:r>
                  <m:sSub>
                    <m:e>
                      <m:r>
                        <w:rPr>
                          <w:rFonts w:ascii="Cambria Math" w:hAnsi="Cambria Math"/>
                        </w:rPr>
                        <m:t xml:space="preserve">E</m:t>
                      </m:r>
                    </m:e>
                    <m:sub>
                      <m:r>
                        <w:rPr>
                          <w:rFonts w:ascii="Cambria Math" w:hAnsi="Cambria Math"/>
                        </w:rPr>
                        <m:t xml:space="preserve">log</m:t>
                      </m:r>
                      <m:d>
                        <m:dPr>
                          <m:begChr m:val="("/>
                          <m:endChr m:val=")"/>
                        </m:dPr>
                        <m:e>
                          <m:r>
                            <w:rPr>
                              <w:rFonts w:ascii="Cambria Math" w:hAnsi="Cambria Math"/>
                            </w:rPr>
                            <m:t xml:space="preserve">R</m:t>
                          </m:r>
                        </m:e>
                      </m:d>
                    </m:sub>
                  </m:sSub>
                </m:e>
              </m:d>
            </m:e>
          </m:d>
        </m:oMath>
      </m:oMathPara>
    </w:p>
    <w:p>
      <w:pPr>
        <w:pStyle w:val="FirstParagraph"/>
        <w:spacing w:lineRule="auto" w:line="480"/>
        <w:rPr/>
      </w:pPr>
      <w:r>
        <w:rPr/>
        <w:t xml:space="preserve">While draw-level propagation remains the preferred approach within the GBD analytical framework, the present method provides a transparent and reproducible alternative when only summary estimates are available (48). The code behind the calculations are available from the study’s </w:t>
      </w:r>
      <w:hyperlink r:id="rId15">
        <w:r>
          <w:rPr>
            <w:rStyle w:val="Hyperlink"/>
          </w:rPr>
          <w:t>Github Repository</w:t>
        </w:r>
      </w:hyperlink>
      <w:r>
        <w:rPr/>
        <w:t>.</w:t>
      </w:r>
      <w:bookmarkEnd w:id="3"/>
      <w:bookmarkEnd w:id="6"/>
      <w:bookmarkEnd w:id="7"/>
    </w:p>
    <w:p>
      <w:pPr>
        <w:pStyle w:val="Heading1"/>
        <w:spacing w:lineRule="auto" w:line="480"/>
        <w:rPr/>
      </w:pPr>
      <w:r>
        <w:rPr/>
        <w:t>4. Results</w:t>
      </w:r>
    </w:p>
    <w:p>
      <w:pPr>
        <w:pStyle w:val="Heading2"/>
        <w:spacing w:lineRule="auto" w:line="480"/>
        <w:rPr/>
      </w:pPr>
      <w:r>
        <w:rPr/>
        <w:t>4.1 U.S. Compared to Competing Countries</w:t>
      </w:r>
    </w:p>
    <w:p>
      <w:pPr>
        <w:pStyle w:val="FirstParagraph"/>
        <w:spacing w:lineRule="auto" w:line="480"/>
        <w:rPr/>
      </w:pPr>
      <w:r>
        <w:rPr/>
        <w:t>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spacing w:lineRule="auto" w:line="480"/>
        <w:rPr/>
      </w:pPr>
      <w:r>
        <w:rPr/>
        <w:t>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Figure 1</w:t>
        </w:r>
      </w:hyperlink>
      <w:r>
        <w:rPr/>
        <w: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10080"/>
      </w:tblGrid>
      <w:tr>
        <w:trPr/>
        <w:tc>
          <w:tcPr>
            <w:tcW w:w="10080" w:type="dxa"/>
            <w:tcBorders/>
          </w:tcPr>
          <w:p>
            <w:pPr>
              <w:pStyle w:val="Compact"/>
              <w:widowControl/>
              <w:suppressAutoHyphens w:val="true"/>
              <w:spacing w:lineRule="auto" w:line="480" w:before="36" w:after="36"/>
              <w:jc w:val="center"/>
              <w:rPr/>
            </w:pPr>
            <w:r>
              <w:rPr/>
              <w:drawing>
                <wp:inline distT="0" distB="0" distL="0" distR="0">
                  <wp:extent cx="6400800" cy="409511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6400800" cy="4095115"/>
                          </a:xfrm>
                          <a:prstGeom prst="rect">
                            <a:avLst/>
                          </a:prstGeom>
                          <a:noFill/>
                        </pic:spPr>
                      </pic:pic>
                    </a:graphicData>
                  </a:graphic>
                </wp:inline>
              </w:drawing>
            </w:r>
          </w:p>
          <w:p>
            <w:pPr>
              <w:pStyle w:val="ImageCaption"/>
              <w:widowControl/>
              <w:suppressAutoHyphens w:val="true"/>
              <w:spacing w:lineRule="auto" w:line="480" w:before="200" w:after="120"/>
              <w:jc w:val="left"/>
              <w:rPr/>
            </w:pPr>
            <w:bookmarkStart w:id="8" w:name="fig-performance"/>
            <w:r>
              <w:rPr>
                <w:rFonts w:eastAsia="Aptos" w:cs="Arial"/>
                <w:kern w:val="0"/>
                <w:szCs w:val="24"/>
                <w:lang w:val="en-US" w:eastAsia="en-US" w:bidi="ar-SA"/>
              </w:rPr>
              <w:t>Figure 1: Age-standardized bladder cancer burden rates between 1980 and 2021 in the U.S. compared with high-income and high Socio-Demographic Index countries and the European Union.</w:t>
            </w:r>
            <w:bookmarkEnd w:id="8"/>
          </w:p>
        </w:tc>
      </w:tr>
    </w:tbl>
    <w:p>
      <w:pPr>
        <w:pStyle w:val="SourceCode"/>
        <w:spacing w:lineRule="auto" w:line="480"/>
        <w:rPr/>
      </w:pPr>
      <w:r>
        <w:rPr>
          <w:rStyle w:val="VerbatimChar"/>
          <w:i w:val="false"/>
          <w:iCs w:val="false"/>
        </w:rPr>
        <w:t>Abbreviations: DALYs: Disability-Adjusted Life Year; YLDs: Years Lived with Disability; YLLs: Years of Life Lost</w:t>
      </w:r>
    </w:p>
    <w:p>
      <w:pPr>
        <w:pStyle w:val="FirstParagraph"/>
        <w:spacing w:lineRule="auto" w:line="480"/>
        <w:rPr/>
      </w:pPr>
      <w:r>
        <w:rPr/>
        <w:t xml:space="preserve">A complementary quantitative summary of the trends shown in </w:t>
      </w:r>
      <w:hyperlink w:anchor="fig-performance">
        <w:r>
          <w:rPr>
            <w:rStyle w:val="Hyperlink"/>
          </w:rPr>
          <w:t>Figure 1</w:t>
        </w:r>
      </w:hyperlink>
      <w:r>
        <w:rPr/>
        <w:t xml:space="preserve"> is provided in </w:t>
      </w:r>
      <w:hyperlink w:anchor="sup-percentchange">
        <w:r>
          <w:rPr>
            <w:rStyle w:val="Hyperlink"/>
          </w:rPr>
          <w:t>Supporting Files</w:t>
        </w:r>
      </w:hyperlink>
      <w:r>
        <w:rPr/>
        <w:t>,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spacing w:lineRule="auto" w:line="480"/>
        <w:rPr/>
      </w:pPr>
      <w:r>
        <w:rPr/>
        <w:t xml:space="preserve">As illustrated in </w:t>
      </w:r>
      <w:hyperlink w:anchor="fig-pyramid">
        <w:r>
          <w:rPr>
            <w:rStyle w:val="Hyperlink"/>
          </w:rPr>
          <w:t>Figure 2</w:t>
        </w:r>
      </w:hyperlink>
      <w:r>
        <w:rPr/>
        <w:t>, all burden measures in 2021 were consistently higher in men across all age groups. The highest age-specific rates for each burden metric were observed in 80+ and 75-79 age strata.</w:t>
      </w:r>
    </w:p>
    <w:p>
      <w:pPr>
        <w:pStyle w:val="Normal"/>
        <w:numPr>
          <w:ilvl w:val="0"/>
          <w:numId w:val="1"/>
        </w:numPr>
        <w:spacing w:lineRule="auto" w:line="480"/>
        <w:rPr/>
      </w:pPr>
      <w:r>
        <w:rPr/>
        <w:t>YLDs: 143.8 [108.0, 184.6] in men and 40.0 [28.7, 52.0] in women in 80+ years age group.</w:t>
      </w:r>
    </w:p>
    <w:p>
      <w:pPr>
        <w:pStyle w:val="Normal"/>
        <w:numPr>
          <w:ilvl w:val="0"/>
          <w:numId w:val="1"/>
        </w:numPr>
        <w:spacing w:lineRule="auto" w:line="480"/>
        <w:rPr/>
      </w:pPr>
      <w:r>
        <w:rPr/>
        <w:t>Prevalence: 1,635.3 [1,526.9, 1,709.5] in men and 469.3 [415.0, 502.5] in women in 75-79 years age group.</w:t>
      </w:r>
    </w:p>
    <w:p>
      <w:pPr>
        <w:pStyle w:val="Normal"/>
        <w:numPr>
          <w:ilvl w:val="0"/>
          <w:numId w:val="1"/>
        </w:numPr>
        <w:spacing w:lineRule="auto" w:line="480"/>
        <w:rPr/>
      </w:pPr>
      <w:r>
        <w:rPr/>
        <w:t>Incidence: 325.0 [274.1, 349.7] in men and 87.8 [67.6, 98.3] in women in 80+ years age group.</w:t>
      </w:r>
    </w:p>
    <w:p>
      <w:pPr>
        <w:pStyle w:val="Normal"/>
        <w:numPr>
          <w:ilvl w:val="0"/>
          <w:numId w:val="1"/>
        </w:numPr>
        <w:spacing w:lineRule="auto" w:line="480"/>
        <w:rPr/>
      </w:pPr>
      <w:r>
        <w:rPr/>
        <w:t>DALYs: 1,694.0 [1,443.1, 1,829.1] in men and 480.8 [372.3, 541.0] in women in 80+ years age group.</w:t>
      </w:r>
    </w:p>
    <w:p>
      <w:pPr>
        <w:pStyle w:val="Normal"/>
        <w:numPr>
          <w:ilvl w:val="0"/>
          <w:numId w:val="1"/>
        </w:numPr>
        <w:spacing w:lineRule="auto" w:line="480"/>
        <w:rPr/>
      </w:pPr>
      <w:r>
        <w:rPr/>
        <w:t>Deaths: 149.2 [125.3, 160.9] in men and 43.8 [33.8, 49.2] in women in 80+ years age group.</w:t>
      </w:r>
    </w:p>
    <w:p>
      <w:pPr>
        <w:pStyle w:val="Normal"/>
        <w:numPr>
          <w:ilvl w:val="0"/>
          <w:numId w:val="1"/>
        </w:numPr>
        <w:spacing w:lineRule="auto" w:line="480"/>
        <w:rPr/>
      </w:pPr>
      <w:r>
        <w:rPr/>
        <w:t>YLLs: 1,551.6 [1,310.0, 1,669.7] in men and 441.6 [361.3, 483.3] in women in 80+ years age group.</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10080"/>
      </w:tblGrid>
      <w:tr>
        <w:trPr/>
        <w:tc>
          <w:tcPr>
            <w:tcW w:w="10080" w:type="dxa"/>
            <w:tcBorders/>
          </w:tcPr>
          <w:p>
            <w:pPr>
              <w:pStyle w:val="Compact"/>
              <w:widowControl/>
              <w:suppressAutoHyphens w:val="true"/>
              <w:spacing w:lineRule="auto" w:line="480" w:before="36" w:after="36"/>
              <w:jc w:val="center"/>
              <w:rPr/>
            </w:pPr>
            <w:r>
              <w:rPr/>
              <w:drawing>
                <wp:inline distT="0" distB="0" distL="0" distR="0">
                  <wp:extent cx="6400800" cy="32004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8">
                            <a:extLst>
                              <a:ext uri="{96DAC541-7B7A-43D3-8B79-37D633B846F1}">
                                <asvg:svgBlip xmlns:asvg="http://schemas.microsoft.com/office/drawing/2016/SVG/main" r:embed="rId19"/>
                              </a:ext>
                            </a:extLst>
                          </a:blip>
                          <a:stretch>
                            <a:fillRect/>
                          </a:stretch>
                        </pic:blipFill>
                        <pic:spPr bwMode="auto">
                          <a:xfrm>
                            <a:off x="0" y="0"/>
                            <a:ext cx="6400800" cy="3200400"/>
                          </a:xfrm>
                          <a:prstGeom prst="rect">
                            <a:avLst/>
                          </a:prstGeom>
                          <a:noFill/>
                        </pic:spPr>
                      </pic:pic>
                    </a:graphicData>
                  </a:graphic>
                </wp:inline>
              </w:drawing>
            </w:r>
          </w:p>
          <w:p>
            <w:pPr>
              <w:pStyle w:val="ImageCaption"/>
              <w:widowControl/>
              <w:suppressAutoHyphens w:val="true"/>
              <w:spacing w:lineRule="auto" w:line="480" w:before="200" w:after="120"/>
              <w:jc w:val="left"/>
              <w:rPr/>
            </w:pPr>
            <w:bookmarkStart w:id="9" w:name="fig-pyramid"/>
            <w:r>
              <w:rPr>
                <w:rFonts w:eastAsia="Aptos" w:cs="Arial"/>
                <w:kern w:val="0"/>
                <w:szCs w:val="24"/>
                <w:lang w:val="en-US" w:eastAsia="en-US" w:bidi="ar-SA"/>
              </w:rPr>
              <w:t>Figure 2: Population pyramids visualizing age-gender distribution of bladder cancer burden rates in the U.S.</w:t>
            </w:r>
            <w:bookmarkEnd w:id="9"/>
          </w:p>
        </w:tc>
      </w:tr>
    </w:tbl>
    <w:p>
      <w:pPr>
        <w:pStyle w:val="SourceCode"/>
        <w:spacing w:lineRule="auto" w:line="480"/>
        <w:rPr/>
      </w:pPr>
      <w:r>
        <w:rPr>
          <w:rStyle w:val="VerbatimChar"/>
          <w:i w:val="false"/>
          <w:iCs w:val="false"/>
        </w:rPr>
        <w:t>Abbreviations: DALYs: Disability-Adjusted Life Year; YLDs: Years Lived with Disability; YLLs: Years of Life Lost</w:t>
      </w:r>
    </w:p>
    <w:p>
      <w:pPr>
        <w:pStyle w:val="FirstParagraph"/>
        <w:spacing w:lineRule="auto" w:line="480"/>
        <w:rPr/>
      </w:pPr>
      <w:r>
        <w:rPr/>
        <w:t xml:space="preserve">State-level population pyramids depicting age-specific burden rates in 2021 are provided in </w:t>
      </w:r>
      <w:hyperlink w:anchor="sup-pyramid2021">
        <w:r>
          <w:rPr>
            <w:rStyle w:val="Hyperlink"/>
          </w:rPr>
          <w:t>Supporting Files</w:t>
        </w:r>
      </w:hyperlink>
      <w:r>
        <w:rPr/>
        <w:t xml:space="preserve"> and in the study’s </w:t>
      </w:r>
      <w:hyperlink r:id="rId20">
        <w:r>
          <w:rPr>
            <w:rStyle w:val="Hyperlink"/>
          </w:rPr>
          <w:t>GitHub repository</w:t>
        </w:r>
      </w:hyperlink>
      <w:r>
        <w:rPr/>
        <w:t xml:space="preserve">. Animated population pyramids illustrating temporal changes by year are also available for each state and for the U.S. overall in </w:t>
      </w:r>
      <w:hyperlink w:anchor="sup-pyramidgif">
        <w:r>
          <w:rPr>
            <w:rStyle w:val="Hyperlink"/>
          </w:rPr>
          <w:t>Supporting Files</w:t>
        </w:r>
      </w:hyperlink>
      <w:r>
        <w:rPr/>
        <w:t xml:space="preserve"> and the </w:t>
      </w:r>
      <w:hyperlink r:id="rId21">
        <w:r>
          <w:rPr>
            <w:rStyle w:val="Hyperlink"/>
          </w:rPr>
          <w:t>GitHub repository</w:t>
        </w:r>
      </w:hyperlink>
      <w:r>
        <w:rPr/>
        <w:t>.</w:t>
      </w:r>
    </w:p>
    <w:p>
      <w:pPr>
        <w:pStyle w:val="BodyText"/>
        <w:spacing w:lineRule="auto" w:line="480"/>
        <w:rPr/>
      </w:pPr>
      <w:r>
        <w:rPr/>
        <w:t xml:space="preserve">In addition to age-specific snapshots, </w:t>
      </w:r>
      <w:hyperlink w:anchor="fig-apc">
        <w:r>
          <w:rPr>
            <w:rStyle w:val="Hyperlink"/>
          </w:rPr>
          <w:t>Figure 3</w:t>
        </w:r>
      </w:hyperlink>
      <w:r>
        <w:rPr/>
        <w:t xml:space="preserve"> incorporates the temporal dimension by presenting burden rates across age groups over time. Comparable age–period visualizations for each state are available in </w:t>
      </w:r>
      <w:hyperlink w:anchor="sup-apc">
        <w:r>
          <w:rPr>
            <w:rStyle w:val="Hyperlink"/>
          </w:rPr>
          <w:t>Supporting Files</w:t>
        </w:r>
      </w:hyperlink>
      <w:r>
        <w:rPr/>
        <w:t xml:space="preserve"> and on the study’s </w:t>
      </w:r>
      <w:hyperlink r:id="rId22">
        <w:r>
          <w:rPr>
            <w:rStyle w:val="Hyperlink"/>
          </w:rPr>
          <w:t>GitHub page</w:t>
        </w:r>
      </w:hyperlink>
      <w:r>
        <w:rPr/>
        <w: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10080"/>
      </w:tblGrid>
      <w:tr>
        <w:trPr/>
        <w:tc>
          <w:tcPr>
            <w:tcW w:w="10080" w:type="dxa"/>
            <w:tcBorders/>
          </w:tcPr>
          <w:p>
            <w:pPr>
              <w:pStyle w:val="Compact"/>
              <w:widowControl/>
              <w:suppressAutoHyphens w:val="true"/>
              <w:spacing w:lineRule="auto" w:line="480" w:before="36" w:after="36"/>
              <w:jc w:val="center"/>
              <w:rPr/>
            </w:pPr>
            <w:r>
              <w:rPr/>
              <w:drawing>
                <wp:inline distT="0" distB="0" distL="0" distR="0">
                  <wp:extent cx="6400800" cy="48006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6400800" cy="4800600"/>
                          </a:xfrm>
                          <a:prstGeom prst="rect">
                            <a:avLst/>
                          </a:prstGeom>
                          <a:noFill/>
                        </pic:spPr>
                      </pic:pic>
                    </a:graphicData>
                  </a:graphic>
                </wp:inline>
              </w:drawing>
            </w:r>
          </w:p>
          <w:p>
            <w:pPr>
              <w:pStyle w:val="ImageCaption"/>
              <w:widowControl/>
              <w:suppressAutoHyphens w:val="true"/>
              <w:spacing w:lineRule="auto" w:line="480" w:before="200" w:after="120"/>
              <w:jc w:val="left"/>
              <w:rPr/>
            </w:pPr>
            <w:bookmarkStart w:id="10" w:name="fig-apc"/>
            <w:r>
              <w:rPr>
                <w:rFonts w:eastAsia="Aptos" w:cs="Arial"/>
                <w:kern w:val="0"/>
                <w:szCs w:val="24"/>
                <w:lang w:val="en-US" w:eastAsia="en-US" w:bidi="ar-SA"/>
              </w:rPr>
              <w:t>Figure 3: Age-gender distribution of bladder cancer burden rates across decades in U.S.</w:t>
            </w:r>
            <w:bookmarkEnd w:id="10"/>
          </w:p>
        </w:tc>
      </w:tr>
    </w:tbl>
    <w:p>
      <w:pPr>
        <w:pStyle w:val="SourceCode"/>
        <w:spacing w:lineRule="auto" w:line="480"/>
        <w:rPr/>
      </w:pPr>
      <w:bookmarkStart w:id="11" w:name="u.s.-compared-to-competing-countries"/>
      <w:r>
        <w:rPr>
          <w:rStyle w:val="VerbatimChar"/>
          <w:i w:val="false"/>
          <w:iCs w:val="false"/>
        </w:rPr>
        <w:t>Abbreviations: DALYs: Disability-Adjusted Life Year; YLDs: Years Lived with Disability; YLLs: Years of Life Lost</w:t>
      </w:r>
      <w:bookmarkEnd w:id="11"/>
    </w:p>
    <w:p>
      <w:pPr>
        <w:pStyle w:val="Heading2"/>
        <w:spacing w:lineRule="auto" w:line="480"/>
        <w:rPr/>
      </w:pPr>
      <w:r>
        <w:rPr/>
        <w:t>4.2 Bladder Cancer Burden Across the U.S.</w:t>
      </w:r>
    </w:p>
    <w:p>
      <w:pPr>
        <w:pStyle w:val="FirstParagraph"/>
        <w:spacing w:lineRule="auto" w:line="480"/>
        <w:rPr/>
      </w:pPr>
      <w:r>
        <w:rPr/>
        <w:t xml:space="preserve">State-specific, sex-stratified temporal trends in age-standardized incidence rates are displayed in </w:t>
      </w:r>
      <w:hyperlink w:anchor="fig-geofacet">
        <w:r>
          <w:rPr>
            <w:rStyle w:val="Hyperlink"/>
          </w:rPr>
          <w:t>Figure 4</w:t>
        </w:r>
      </w:hyperlink>
      <w:r>
        <w:rPr/>
        <w:t xml:space="preserve">. Analogous geofaceted plots for age-standardized prevalence, mortality, DALYs, YLLs, and YLDs are provided in </w:t>
      </w:r>
      <w:hyperlink w:anchor="sup-geofacet">
        <w:r>
          <w:rPr>
            <w:rStyle w:val="Hyperlink"/>
          </w:rPr>
          <w:t>Supporting Files</w:t>
        </w:r>
      </w:hyperlink>
      <w:r>
        <w:rPr/>
        <w:t xml:space="preserve"> and in the study’s </w:t>
      </w:r>
      <w:hyperlink r:id="rId25">
        <w:r>
          <w:rPr>
            <w:rStyle w:val="Hyperlink"/>
          </w:rPr>
          <w:t>GitHub repository</w:t>
        </w:r>
      </w:hyperlink>
      <w:r>
        <w:rPr/>
        <w:t>.</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10080"/>
      </w:tblGrid>
      <w:tr>
        <w:trPr/>
        <w:tc>
          <w:tcPr>
            <w:tcW w:w="10080" w:type="dxa"/>
            <w:tcBorders/>
          </w:tcPr>
          <w:p>
            <w:pPr>
              <w:pStyle w:val="Compact"/>
              <w:widowControl/>
              <w:suppressAutoHyphens w:val="true"/>
              <w:spacing w:lineRule="auto" w:line="480" w:before="36" w:after="36"/>
              <w:jc w:val="center"/>
              <w:rPr/>
            </w:pPr>
            <w:r>
              <w:rPr/>
              <w:drawing>
                <wp:inline distT="0" distB="0" distL="0" distR="0">
                  <wp:extent cx="6400800" cy="334264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6400800" cy="3342640"/>
                          </a:xfrm>
                          <a:prstGeom prst="rect">
                            <a:avLst/>
                          </a:prstGeom>
                          <a:noFill/>
                        </pic:spPr>
                      </pic:pic>
                    </a:graphicData>
                  </a:graphic>
                </wp:inline>
              </w:drawing>
            </w:r>
          </w:p>
          <w:p>
            <w:pPr>
              <w:pStyle w:val="ImageCaption"/>
              <w:widowControl/>
              <w:suppressAutoHyphens w:val="true"/>
              <w:spacing w:lineRule="auto" w:line="480" w:before="200" w:after="120"/>
              <w:jc w:val="left"/>
              <w:rPr/>
            </w:pPr>
            <w:bookmarkStart w:id="12" w:name="fig-geofacet"/>
            <w:r>
              <w:rPr>
                <w:rFonts w:eastAsia="Aptos" w:cs="Arial"/>
                <w:kern w:val="0"/>
                <w:szCs w:val="24"/>
                <w:lang w:val="en-US" w:eastAsia="en-US" w:bidi="ar-SA"/>
              </w:rPr>
              <w:t>Figure 4: State-level historical trends in age-standardized prevalence rates across the U.S., stratified by sex. States are arranged to approximate their geographic location.</w:t>
            </w:r>
            <w:bookmarkEnd w:id="12"/>
          </w:p>
        </w:tc>
      </w:tr>
    </w:tbl>
    <w:p>
      <w:pPr>
        <w:pStyle w:val="SourceCode"/>
        <w:spacing w:lineRule="auto" w:line="480"/>
        <w:rPr/>
      </w:pPr>
      <w:r>
        <w:rPr>
          <w:rStyle w:val="VerbatimChar"/>
          <w:i w:val="false"/>
          <w:iCs w:val="false"/>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spacing w:lineRule="auto" w:line="480"/>
        <w:rPr/>
      </w:pPr>
      <w:hyperlink w:anchor="fig-discrep">
        <w:r>
          <w:rPr>
            <w:rStyle w:val="Hyperlink"/>
          </w:rPr>
          <w:t>Figure 5</w:t>
        </w:r>
      </w:hyperlink>
      <w:r>
        <w:rPr/>
        <w:t xml:space="preserve"> 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10080"/>
      </w:tblGrid>
      <w:tr>
        <w:trPr/>
        <w:tc>
          <w:tcPr>
            <w:tcW w:w="10080" w:type="dxa"/>
            <w:tcBorders/>
          </w:tcPr>
          <w:p>
            <w:pPr>
              <w:pStyle w:val="Compact"/>
              <w:widowControl/>
              <w:suppressAutoHyphens w:val="true"/>
              <w:spacing w:lineRule="auto" w:line="480" w:before="36" w:after="36"/>
              <w:jc w:val="center"/>
              <w:rPr/>
            </w:pPr>
            <w:r>
              <w:rPr/>
              <w:drawing>
                <wp:inline distT="0" distB="0" distL="0" distR="0">
                  <wp:extent cx="6400800" cy="853567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6400800" cy="8535670"/>
                          </a:xfrm>
                          <a:prstGeom prst="rect">
                            <a:avLst/>
                          </a:prstGeom>
                          <a:noFill/>
                        </pic:spPr>
                      </pic:pic>
                    </a:graphicData>
                  </a:graphic>
                </wp:inline>
              </w:drawing>
            </w:r>
          </w:p>
          <w:p>
            <w:pPr>
              <w:pStyle w:val="ImageCaption"/>
              <w:widowControl/>
              <w:suppressAutoHyphens w:val="true"/>
              <w:spacing w:lineRule="auto" w:line="480" w:before="200" w:after="120"/>
              <w:jc w:val="left"/>
              <w:rPr/>
            </w:pPr>
            <w:bookmarkStart w:id="13" w:name="fig-discrep"/>
            <w:r>
              <w:rPr>
                <w:rFonts w:eastAsia="Aptos" w:cs="Arial"/>
                <w:kern w:val="0"/>
                <w:szCs w:val="24"/>
                <w:lang w:val="en-US" w:eastAsia="en-US" w:bidi="ar-SA"/>
              </w:rPr>
              <w:t>Figure 5: State-level male:female ratio across different measures in 2021.</w:t>
            </w:r>
            <w:bookmarkEnd w:id="13"/>
          </w:p>
        </w:tc>
      </w:tr>
    </w:tbl>
    <w:p>
      <w:pPr>
        <w:pStyle w:val="SourceCode"/>
        <w:spacing w:lineRule="auto" w:line="480"/>
        <w:rPr/>
      </w:pPr>
      <w:bookmarkStart w:id="14" w:name="bladder-cancer-burden-across-the-u.s."/>
      <w:bookmarkStart w:id="15" w:name="results"/>
      <w:r>
        <w:rPr>
          <w:rStyle w:val="VerbatimChar"/>
          <w:i w:val="false"/>
          <w:iCs w:val="false"/>
        </w:rPr>
        <w:t>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bookmarkEnd w:id="14"/>
      <w:bookmarkEnd w:id="15"/>
    </w:p>
    <w:p>
      <w:pPr>
        <w:pStyle w:val="Heading1"/>
        <w:spacing w:lineRule="auto" w:line="480"/>
        <w:rPr/>
      </w:pPr>
      <w:r>
        <w:rPr/>
        <w:t>5. Discussion</w:t>
      </w:r>
    </w:p>
    <w:p>
      <w:pPr>
        <w:pStyle w:val="FirstParagraph"/>
        <w:spacing w:lineRule="auto" w:line="480"/>
        <w:rPr/>
      </w:pPr>
      <w:r>
        <w:rP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 </w:t>
      </w:r>
      <w:hyperlink w:anchor="sup-geofacet">
        <w:r>
          <w:rPr>
            <w:rStyle w:val="Hyperlink"/>
          </w:rPr>
          <w:t>Supporting Files</w:t>
        </w:r>
      </w:hyperlink>
      <w:r>
        <w:rPr/>
        <w:t>. These contrasts likely reflect regional differences in environmental exposures, healthcare access, and the effectiveness of public health interventions.</w:t>
      </w:r>
    </w:p>
    <w:p>
      <w:pPr>
        <w:pStyle w:val="BodyText"/>
        <w:spacing w:lineRule="auto" w:line="480"/>
        <w:rPr/>
      </w:pPr>
      <w:r>
        <w:rPr/>
        <w:t>Despite having one of the highest per-capita healthcare expenditures globally (49), the U.S. continues to report comparatively high age-standardized incidence rates of BC relative to many high-income and high-SDI regions, consistent with prior reports (3). This pattern likely reflects the country’s advanced diagnostic capacity and widespread use of cystoscopy and imaging, which facilitate more complete case ascertainment rather than a true excess in underlying disease risk (50–52). At the same time, this discrepancy highlights a potential imbalance in healthcare priorities, with disproportionate emphasis on diagnosis and treatment relative to prevention and risk reduction (53). The persistently high incidence is particularly concerning given evidence that up to 80% of BC cases diagnosed over the past two decades may be attributable to preventable exposures (54), whereas inherited genetic factors account for only a small proportion of cases in Western populations (55). Together, these findings underscore the importance of strengthening prevention-oriented public health strategies, including smoking cessation, occupational safety, and mitigation of environmental carcinogen exposure (56).</w:t>
      </w:r>
    </w:p>
    <w:p>
      <w:pPr>
        <w:pStyle w:val="BodyText"/>
        <w:spacing w:lineRule="auto" w:line="480"/>
        <w:rPr/>
      </w:pPr>
      <w:r>
        <w:rPr/>
        <w:t xml:space="preserve">Age-specific analyses revealed a consistent increase in BC incidence, mortality, and DALYs with advancing age across all states, in line with prior literature (3). Although age-specific patterns remained largely stable over time, data from 2021 demonstrated particularly high incidence and mortality rates in the oldest age groups in several populous states, including California, Texas, and Connecticut </w:t>
      </w:r>
      <w:hyperlink w:anchor="sup-apc">
        <w:r>
          <w:rPr>
            <w:rStyle w:val="Hyperlink"/>
          </w:rPr>
          <w:t>Supporting Files</w:t>
        </w:r>
      </w:hyperlink>
      <w:r>
        <w:rPr/>
        <w:t>. This trend likely reflects demographic aging, as the U.S. population aged 65 years and older increased by 38.6% between 2010 and 2020 (56). In addition, recent evidence suggests that the oldest adults—especially men aged 85 years and older—have not experienced the same improvements in cancer mortality as younger seniors, with the largest relative increases observed in individuals aged 75–79 years and 80 years or older (57). These findings indicate that, despite overall progress, the burden of BC among older adults remains a critical public health challenge.</w:t>
      </w:r>
    </w:p>
    <w:p>
      <w:pPr>
        <w:pStyle w:val="BodyText"/>
        <w:spacing w:lineRule="auto" w:line="480"/>
        <w:rPr/>
      </w:pPr>
      <w:r>
        <w:rPr/>
        <w:t>Consistent with prior studies, our analysis confirms that men experience BC burden rates approximately four times higher than women (15).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 (16,58,59). One contributing factor may be delayed evaluation of hematuria in women, as symptoms are more frequently attributed to urinary tract infections or gynecologic conditions (58,60). Addressing these disparities will require improved adherence to updated clinical guidelines, including the 2025 American Urological Association recommendations (61), alongside the incorporation of validated biomarkers for risk stratification and the adoption of sex-aware diagnostic pathways in primary care settings.</w:t>
      </w:r>
    </w:p>
    <w:p>
      <w:pPr>
        <w:pStyle w:val="BodyText"/>
        <w:spacing w:lineRule="auto" w:line="480"/>
        <w:rPr/>
      </w:pPr>
      <w:r>
        <w:rPr/>
        <w:t>Beyond healthcare delivery factors, emerging evidence points to biological mechanisms underlying sex-based disparities in BC. Differences in immune surveillance, hormonal milieu, hormone receptor signaling, and genetic or epigenetic alterations have been implicated (62). For example, androgen signaling may promote oncogenic pathways in men, whereas sex-specific immune responses may influence tumor behavior and progression in women (63,64). Importantly, these differences persist even after adjustment for known exposures such as smoking and occupational hazards (65). Ongoing research into sex hormones, immune checkpoints, and tumor genomics may help clarify why men are disproportionately affected by BC and why women experience worse outcomes once diagnosed.</w:t>
      </w:r>
    </w:p>
    <w:p>
      <w:pPr>
        <w:pStyle w:val="BodyText"/>
        <w:spacing w:lineRule="auto" w:line="480"/>
        <w:rPr/>
      </w:pPr>
      <w:r>
        <w:rPr/>
        <w:t>Geographic disparities observed in this study align with previous reports demonstrating the highest BC incidence among men and in Northeastern states, including Maine, New Hampshire, and Vermont (10). These patterns cannot be explained by smoking alone (66). Environmental carcinogens, particularly arsenic contamination of drinking water from private domestic wells, have been implicated in elevated incidence in New England (66,67). Recent declines in incidence in some Northeastern states may reflect improvements in water treatment and broader public health interventions (68). For example, professionally installed and maintained household arsenic treatment systems in Maine and New Jersey have achieved substantial reductions in exposure and associated cancer risk (69), although incomplete effectiveness in a subset of systems highlights the need for continued monitoring and maintenance. Regulatory actions, such as New Hampshire’s adoption of a stricter arsenic standard for public drinking water in 2021 (70),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spacing w:lineRule="auto" w:line="480"/>
        <w:rPr/>
      </w:pPr>
      <w:r>
        <w:rPr/>
        <w:t>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 (13,71). Elevated mortality in these regions may reflect higher smoking-attributable cancer burdens (72), greater rurality (73,74), and reduced access to timely diagnostic and treatment services (74,75). Lower insurance coverage and longer travel distances to specialized care centers may further contribute to delayed diagnosis and worse outcomes (76). By contrast, the Northeast’s relatively low uninsured rates (77) may partially explain why states in this region experience high incidence but comparatively lower mortality, resulting in a clear regional mismatch between disease occurrence and survival.</w:t>
      </w:r>
    </w:p>
    <w:p>
      <w:pPr>
        <w:pStyle w:val="BodyText"/>
        <w:spacing w:lineRule="auto" w:line="480"/>
        <w:rPr/>
      </w:pPr>
      <w:r>
        <w:rPr/>
        <w:t>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 (78), low adult smoking prevalence (79), and strong tobacco control policies (80). In addition, industrial and environmental carcinogen exposures are generally less prevalent, and access to healthcare and insurance coverage is relatively high (81). Together, these demographic, behavioral, and structural factors likely explain Hawaii’s consistently low BC burden, underscoring the potential impact of comprehensive prevention and access-to-care strategies.</w:t>
      </w:r>
    </w:p>
    <w:p>
      <w:pPr>
        <w:pStyle w:val="BodyText"/>
        <w:spacing w:lineRule="auto" w:line="480"/>
        <w:rPr/>
      </w:pPr>
      <w:bookmarkStart w:id="16" w:name="discussion"/>
      <w:r>
        <w:rPr/>
        <w:t>The strengths of this study include the use of robust, population-based estimates to examine long-term temporal trends and state-level disparities in BC burden across the U.S. Nevertheless, several limitations merit consideration.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bookmarkEnd w:id="16"/>
    </w:p>
    <w:p>
      <w:pPr>
        <w:pStyle w:val="Heading1"/>
        <w:spacing w:lineRule="auto" w:line="480"/>
        <w:rPr/>
      </w:pPr>
      <w:r>
        <w:rPr/>
        <w:t>6. Conclusions</w:t>
      </w:r>
    </w:p>
    <w:p>
      <w:pPr>
        <w:pStyle w:val="FirstParagraph"/>
        <w:spacing w:lineRule="auto" w:line="480"/>
        <w:rPr/>
      </w:pPr>
      <w:bookmarkStart w:id="17" w:name="conclusions"/>
      <w:r>
        <w:rPr/>
        <w:t>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bookmarkEnd w:id="17"/>
    </w:p>
    <w:p>
      <w:pPr>
        <w:pStyle w:val="Heading1"/>
        <w:spacing w:lineRule="auto" w:line="480"/>
        <w:rPr/>
      </w:pPr>
      <w:bookmarkStart w:id="18" w:name="supporting-files"/>
      <w:r>
        <w:rPr/>
        <w:t>Supporting Files</w:t>
      </w:r>
    </w:p>
    <w:p>
      <w:pPr>
        <w:pStyle w:val="FirstParagraph"/>
        <w:spacing w:lineRule="auto" w:line="480"/>
        <w:rPr/>
      </w:pPr>
      <w:r>
        <w:rPr/>
        <w:t>Supporting Files are provided as appendices to the manuscript and are also publicly accessible at the links below:</w:t>
      </w:r>
    </w:p>
    <w:p>
      <w:pPr>
        <w:pStyle w:val="Normal"/>
        <w:numPr>
          <w:ilvl w:val="0"/>
          <w:numId w:val="19"/>
        </w:numPr>
        <w:spacing w:lineRule="auto" w:line="480"/>
        <w:rPr/>
      </w:pPr>
      <w:r>
        <w:rPr>
          <w:b/>
          <w:bCs/>
        </w:rPr>
        <w:t>Percentage change between 1980 and 2021</w:t>
      </w:r>
      <w:r>
        <w:rPr/>
        <w:b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 </w:t>
      </w:r>
      <w:hyperlink r:id="rId30">
        <w:r>
          <w:rPr>
            <w:rStyle w:val="Hyperlink"/>
          </w:rPr>
          <w:t>GitHub repository</w:t>
        </w:r>
      </w:hyperlink>
      <w:r>
        <w:rPr/>
        <w:t>.</w:t>
      </w:r>
    </w:p>
    <w:p>
      <w:pPr>
        <w:pStyle w:val="Normal"/>
        <w:numPr>
          <w:ilvl w:val="0"/>
          <w:numId w:val="17"/>
        </w:numPr>
        <w:spacing w:lineRule="auto" w:line="480"/>
        <w:rPr/>
      </w:pPr>
      <w:r>
        <w:rPr>
          <w:b/>
          <w:bCs/>
        </w:rPr>
        <w:t>Geographically faceted state-level trend plots</w:t>
      </w:r>
      <w:r>
        <w:rPr/>
        <w:br/>
        <w:t xml:space="preserve">Geofacet plots illustrating historical age-standardized trends in bladder cancer burden measures across U.S. states are available from the project’s </w:t>
      </w:r>
      <w:hyperlink r:id="rId31">
        <w:r>
          <w:rPr>
            <w:rStyle w:val="Hyperlink"/>
          </w:rPr>
          <w:t>GitHub repository</w:t>
        </w:r>
      </w:hyperlink>
      <w:r>
        <w:rPr/>
        <w:t>. 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Normal"/>
        <w:numPr>
          <w:ilvl w:val="0"/>
          <w:numId w:val="17"/>
        </w:numPr>
        <w:spacing w:lineRule="auto" w:line="480"/>
        <w:rPr/>
      </w:pPr>
      <w:r>
        <w:rPr>
          <w:b/>
          <w:bCs/>
        </w:rPr>
        <w:t>State-level population pyramids (2021)</w:t>
      </w:r>
      <w:r>
        <w:rPr/>
        <w:br/>
        <w:t xml:space="preserve">Population pyramid plots depicting age- and sex-stratified bladder cancer burden for each U.S. state in 2021 are available from the project’s </w:t>
      </w:r>
      <w:hyperlink r:id="rId32">
        <w:r>
          <w:rPr>
            <w:rStyle w:val="Hyperlink"/>
          </w:rPr>
          <w:t>GitHub repository</w:t>
        </w:r>
      </w:hyperlink>
      <w:r>
        <w:rPr/>
        <w:t>.</w:t>
      </w:r>
    </w:p>
    <w:p>
      <w:pPr>
        <w:pStyle w:val="Normal"/>
        <w:numPr>
          <w:ilvl w:val="0"/>
          <w:numId w:val="17"/>
        </w:numPr>
        <w:spacing w:lineRule="auto" w:line="480"/>
        <w:rPr/>
      </w:pPr>
      <w:r>
        <w:rPr>
          <w:b/>
          <w:bCs/>
        </w:rPr>
        <w:t>Animated population pyramids</w:t>
      </w:r>
      <w:r>
        <w:rPr/>
        <w:br/>
        <w:t xml:space="preserve">Animated population pyramid plots visualizing temporal changes in age- and sex-stratified bladder cancer burden for each U.S. state are available from the project’s </w:t>
      </w:r>
      <w:hyperlink r:id="rId33">
        <w:r>
          <w:rPr>
            <w:rStyle w:val="Hyperlink"/>
          </w:rPr>
          <w:t>GitHub repository</w:t>
        </w:r>
      </w:hyperlink>
      <w:r>
        <w:rPr/>
        <w:t>.</w:t>
      </w:r>
    </w:p>
    <w:p>
      <w:pPr>
        <w:pStyle w:val="Normal"/>
        <w:numPr>
          <w:ilvl w:val="0"/>
          <w:numId w:val="17"/>
        </w:numPr>
        <w:spacing w:lineRule="auto" w:line="480"/>
        <w:rPr/>
      </w:pPr>
      <w:r>
        <w:rPr>
          <w:b/>
          <w:bCs/>
        </w:rPr>
        <w:t>State ranking bump plots</w:t>
      </w:r>
      <w:r>
        <w:rPr/>
        <w:br/>
        <w:t xml:space="preserve">Bump plots ranking U.S. states according to bladder cancer burden metrics in 1990, 2000, 2010, and 2021 are available from the project’s </w:t>
      </w:r>
      <w:hyperlink r:id="rId34">
        <w:r>
          <w:rPr>
            <w:rStyle w:val="Hyperlink"/>
          </w:rPr>
          <w:t>GitHub repository</w:t>
        </w:r>
      </w:hyperlink>
      <w:r>
        <w:rPr/>
        <w:t>.</w:t>
      </w:r>
    </w:p>
    <w:p>
      <w:pPr>
        <w:pStyle w:val="Normal"/>
        <w:numPr>
          <w:ilvl w:val="0"/>
          <w:numId w:val="17"/>
        </w:numPr>
        <w:spacing w:lineRule="auto" w:line="480"/>
        <w:rPr/>
      </w:pPr>
      <w:r>
        <w:rPr>
          <w:b/>
          <w:bCs/>
        </w:rPr>
        <w:t>Age–period trend plots</w:t>
      </w:r>
      <w:r>
        <w:rPr/>
        <w:br/>
        <w:t xml:space="preserve">Line plots illustrating age- and sex-stratified bladder cancer burden across calendar years for each U.S. state are available from the project’s </w:t>
      </w:r>
      <w:hyperlink r:id="rId35">
        <w:r>
          <w:rPr>
            <w:rStyle w:val="Hyperlink"/>
          </w:rPr>
          <w:t>GitHub repository</w:t>
        </w:r>
      </w:hyperlink>
      <w:r>
        <w:rPr/>
        <w:t>.</w:t>
      </w:r>
      <w:bookmarkEnd w:id="18"/>
    </w:p>
    <w:p>
      <w:pPr>
        <w:pStyle w:val="Heading1"/>
        <w:spacing w:lineRule="auto" w:line="480"/>
        <w:rPr/>
      </w:pPr>
      <w:r>
        <w:rPr/>
        <w:t>7. Statements</w:t>
      </w:r>
    </w:p>
    <w:p>
      <w:pPr>
        <w:pStyle w:val="Heading2"/>
        <w:spacing w:lineRule="auto" w:line="480"/>
        <w:rPr/>
      </w:pPr>
      <w:bookmarkStart w:id="19" w:name="contributions"/>
      <w:r>
        <w:rPr/>
        <w:t>7.1 Contributions</w:t>
      </w:r>
    </w:p>
    <w:p>
      <w:pPr>
        <w:pStyle w:val="FirstParagraph"/>
        <w:spacing w:lineRule="auto" w:line="480"/>
        <w:rPr/>
      </w:pPr>
      <w:r>
        <w:rPr>
          <w:b/>
          <w:bCs/>
        </w:rPr>
        <w:t>Conceptualization:</w:t>
      </w:r>
      <w:r>
        <w:rPr/>
        <w:t xml:space="preserve"> Alireza Sadeghi; </w:t>
      </w:r>
      <w:r>
        <w:rPr>
          <w:b/>
          <w:bCs/>
        </w:rPr>
        <w:t>Data curation:</w:t>
      </w:r>
      <w:r>
        <w:rPr/>
        <w:t xml:space="preserve"> Alireza Sadeghi, Niloofar Dehdari Ebrahimi, Ehsan Taherifard; </w:t>
      </w:r>
      <w:r>
        <w:rPr>
          <w:b/>
          <w:bCs/>
        </w:rPr>
        <w:t>Formal analysis:</w:t>
      </w:r>
      <w:r>
        <w:rPr/>
        <w:t xml:space="preserve"> Alireza Sadeghi; </w:t>
      </w:r>
      <w:r>
        <w:rPr>
          <w:b/>
          <w:bCs/>
        </w:rPr>
        <w:t>Investigation:</w:t>
      </w:r>
      <w:r>
        <w:rPr/>
        <w:t xml:space="preserve"> Alireza Sadeghi, Fatemeh Nouri, Niloofar Dehdari Ebrahimi, Ehsan Taherifard, Wassim Kassouf; </w:t>
      </w:r>
      <w:r>
        <w:rPr>
          <w:b/>
          <w:bCs/>
        </w:rPr>
        <w:t>Methodology:</w:t>
      </w:r>
      <w:r>
        <w:rPr/>
        <w:t xml:space="preserve"> Alireza Sadeghi; </w:t>
      </w:r>
      <w:r>
        <w:rPr>
          <w:b/>
          <w:bCs/>
        </w:rPr>
        <w:t>Software:</w:t>
      </w:r>
      <w:r>
        <w:rPr/>
        <w:t xml:space="preserve"> Alireza Sadeghi; </w:t>
      </w:r>
      <w:r>
        <w:rPr>
          <w:b/>
          <w:bCs/>
        </w:rPr>
        <w:t>Visualization:</w:t>
      </w:r>
      <w:r>
        <w:rPr/>
        <w:t xml:space="preserve"> Alireza Sadeghi; </w:t>
      </w:r>
      <w:r>
        <w:rPr>
          <w:b/>
          <w:bCs/>
        </w:rPr>
        <w:t>Writing – review &amp; editing:</w:t>
      </w:r>
      <w:r>
        <w:rPr/>
        <w:t xml:space="preserve"> Alireza Sadeghi, Fatemeh Nouri, Niloofar Dehdari Ebrahimi, Ehsan Taherifard, Wassim Kassouf; </w:t>
      </w:r>
      <w:r>
        <w:rPr>
          <w:b/>
          <w:bCs/>
        </w:rPr>
        <w:t>Writing – original draft:</w:t>
      </w:r>
      <w:r>
        <w:rPr/>
        <w:t xml:space="preserve"> Alireza Sadeghi, Fatemeh Nouri, Niloofar Dehdari Ebrahimi; </w:t>
      </w:r>
      <w:r>
        <w:rPr>
          <w:b/>
          <w:bCs/>
        </w:rPr>
        <w:t>Resources:</w:t>
      </w:r>
      <w:r>
        <w:rPr/>
        <w:t xml:space="preserve"> Ehsan Taherifard; </w:t>
      </w:r>
      <w:r>
        <w:rPr>
          <w:b/>
          <w:bCs/>
        </w:rPr>
        <w:t>Supervision:</w:t>
      </w:r>
      <w:r>
        <w:rPr/>
        <w:t xml:space="preserve"> Wassim Kassouf; </w:t>
      </w:r>
      <w:r>
        <w:rPr>
          <w:b/>
          <w:bCs/>
        </w:rPr>
        <w:t>Project administration:</w:t>
      </w:r>
      <w:r>
        <w:rPr/>
        <w:t xml:space="preserve"> Wassim Kassouf;</w:t>
      </w:r>
      <w:bookmarkEnd w:id="19"/>
    </w:p>
    <w:p>
      <w:pPr>
        <w:pStyle w:val="Heading2"/>
        <w:spacing w:lineRule="auto" w:line="480"/>
        <w:rPr/>
      </w:pPr>
      <w:r>
        <w:rPr/>
        <w:t>7.2 Acknowledgments</w:t>
      </w:r>
    </w:p>
    <w:p>
      <w:pPr>
        <w:pStyle w:val="FirstParagraph"/>
        <w:spacing w:lineRule="auto" w:line="480"/>
        <w:rPr/>
      </w:pPr>
      <w:bookmarkStart w:id="20" w:name="acknowledgments"/>
      <w:r>
        <w:rPr/>
        <w:t>None.</w:t>
      </w:r>
      <w:bookmarkEnd w:id="20"/>
    </w:p>
    <w:p>
      <w:pPr>
        <w:pStyle w:val="Heading2"/>
        <w:spacing w:lineRule="auto" w:line="480"/>
        <w:rPr/>
      </w:pPr>
      <w:r>
        <w:rPr/>
        <w:t>7.3 Transparency Statement</w:t>
      </w:r>
    </w:p>
    <w:p>
      <w:pPr>
        <w:pStyle w:val="FirstParagraph"/>
        <w:spacing w:lineRule="auto" w:line="480"/>
        <w:rPr/>
      </w:pPr>
      <w:bookmarkStart w:id="21" w:name="transparency-statement"/>
      <w:r>
        <w:rPr/>
        <w:t>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bookmarkEnd w:id="21"/>
    </w:p>
    <w:p>
      <w:pPr>
        <w:pStyle w:val="Heading2"/>
        <w:spacing w:lineRule="auto" w:line="480"/>
        <w:rPr/>
      </w:pPr>
      <w:bookmarkStart w:id="22" w:name="data-availability-statement"/>
      <w:r>
        <w:rPr/>
        <w:t>7.4 Data Availability Statement</w:t>
      </w:r>
    </w:p>
    <w:p>
      <w:pPr>
        <w:pStyle w:val="FirstParagraph"/>
        <w:spacing w:lineRule="auto" w:line="480"/>
        <w:rPr/>
      </w:pPr>
      <w:r>
        <w:rPr/>
        <w:t xml:space="preserve">All data are publicly available through the </w:t>
      </w:r>
      <w:hyperlink r:id="rId36">
        <w:r>
          <w:rPr>
            <w:rStyle w:val="Hyperlink"/>
          </w:rPr>
          <w:t>Global Health Data Exchange (GHDx)</w:t>
        </w:r>
      </w:hyperlink>
      <w:r>
        <w:rPr/>
        <w:t xml:space="preserve">. The complete analytic workflow, including cleaned datasets and all code required to reproduce the analyses, figures, and tables presented in this manuscript, is available in the study’s </w:t>
      </w:r>
      <w:hyperlink r:id="rId37">
        <w:r>
          <w:rPr>
            <w:rStyle w:val="Hyperlink"/>
          </w:rPr>
          <w:t>GitHub repository</w:t>
        </w:r>
      </w:hyperlink>
      <w:r>
        <w:rPr/>
        <w:t>. Data are provided in R’s native binary format (RDS). Full reproducibility can be achieved by cloning the repository and rendering the project using the supplied scripts and documentation.</w:t>
      </w:r>
      <w:bookmarkEnd w:id="22"/>
    </w:p>
    <w:p>
      <w:pPr>
        <w:pStyle w:val="Heading2"/>
        <w:spacing w:lineRule="auto" w:line="480"/>
        <w:rPr/>
      </w:pPr>
      <w:r>
        <w:rPr/>
        <w:t>7.5 Conflicts of Interest</w:t>
      </w:r>
    </w:p>
    <w:p>
      <w:pPr>
        <w:pStyle w:val="FirstParagraph"/>
        <w:spacing w:lineRule="auto" w:line="480"/>
        <w:rPr/>
      </w:pPr>
      <w:bookmarkStart w:id="23" w:name="conflicts-of-interest"/>
      <w:bookmarkStart w:id="24" w:name="statements"/>
      <w:r>
        <w:rPr/>
        <w:t>The authors declare no conflicts of interest.</w:t>
      </w:r>
      <w:bookmarkEnd w:id="23"/>
      <w:bookmarkEnd w:id="24"/>
    </w:p>
    <w:p>
      <w:pPr>
        <w:pStyle w:val="Heading1"/>
        <w:spacing w:lineRule="auto" w:line="480"/>
        <w:rPr/>
      </w:pPr>
      <w:r>
        <w:rPr/>
        <w:t>References</w:t>
      </w:r>
    </w:p>
    <w:p>
      <w:pPr>
        <w:pStyle w:val="Bibliography"/>
        <w:spacing w:lineRule="auto" w:line="480"/>
        <w:rPr/>
      </w:pPr>
      <w:bookmarkStart w:id="25" w:name="ref-RN1"/>
      <w:r>
        <w:rPr/>
        <w:t xml:space="preserve">1. </w:t>
        <w:tab/>
        <w:t xml:space="preserve">Institute NC. SEER cancer stat facts: Bladder cancer [Internet]. National Cancer Institute; 2024. Available from: </w:t>
      </w:r>
      <w:hyperlink r:id="rId38">
        <w:r>
          <w:rPr>
            <w:rStyle w:val="Hyperlink"/>
          </w:rPr>
          <w:t>https://seer.cancer.gov/statfacts/html/urinb.html</w:t>
        </w:r>
      </w:hyperlink>
      <w:bookmarkEnd w:id="25"/>
    </w:p>
    <w:p>
      <w:pPr>
        <w:pStyle w:val="Bibliography"/>
        <w:spacing w:lineRule="auto" w:line="480"/>
        <w:rPr/>
      </w:pPr>
      <w:bookmarkStart w:id="26" w:name="ref-RN2"/>
      <w:r>
        <w:rPr/>
        <w:t xml:space="preserve">2. </w:t>
        <w:tab/>
        <w:t xml:space="preserve">Siegel RL, Miller KD, Jemal A. </w:t>
      </w:r>
      <w:hyperlink r:id="rId39">
        <w:r>
          <w:rPr>
            <w:rStyle w:val="Hyperlink"/>
          </w:rPr>
          <w:t>Cancer statistics, 2020</w:t>
        </w:r>
      </w:hyperlink>
      <w:r>
        <w:rPr/>
        <w:t xml:space="preserve">. CA Cancer J Clin. 2020;70(1):7–30. </w:t>
      </w:r>
      <w:bookmarkEnd w:id="26"/>
    </w:p>
    <w:p>
      <w:pPr>
        <w:pStyle w:val="Bibliography"/>
        <w:spacing w:lineRule="auto" w:line="480"/>
        <w:rPr/>
      </w:pPr>
      <w:bookmarkStart w:id="27" w:name="ref-RN3"/>
      <w:r>
        <w:rPr/>
        <w:t xml:space="preserve">3. </w:t>
        <w:tab/>
        <w:t xml:space="preserve">Su X, Tao Y, Chen F, Han X, Xue L. Trends in the global, regional, and national burden of bladder cancer from 1990 to 2021: An observational study from the global burden of disease study 2021. Scientific Reports [Internet]. 2025;15(1):7655. Available from: </w:t>
      </w:r>
      <w:hyperlink r:id="rId40">
        <w:r>
          <w:rPr>
            <w:rStyle w:val="Hyperlink"/>
          </w:rPr>
          <w:t>https://doi.org/10.1038/s41598-025-92033-5</w:t>
        </w:r>
      </w:hyperlink>
      <w:bookmarkEnd w:id="27"/>
    </w:p>
    <w:p>
      <w:pPr>
        <w:pStyle w:val="Bibliography"/>
        <w:spacing w:lineRule="auto" w:line="480"/>
        <w:rPr/>
      </w:pPr>
      <w:bookmarkStart w:id="28" w:name="ref-RN4"/>
      <w:r>
        <w:rPr/>
        <w:t xml:space="preserve">4. </w:t>
        <w:tab/>
        <w:t xml:space="preserve">Mossanen M, Gore JL. </w:t>
      </w:r>
      <w:hyperlink r:id="rId41">
        <w:r>
          <w:rPr>
            <w:rStyle w:val="Hyperlink"/>
          </w:rPr>
          <w:t>The burden of bladder cancer care: Direct and indirect costs</w:t>
        </w:r>
      </w:hyperlink>
      <w:r>
        <w:rPr/>
        <w:t xml:space="preserve">. Curr Opin Urol. 2014;24(5):487–91. </w:t>
      </w:r>
      <w:bookmarkEnd w:id="28"/>
    </w:p>
    <w:p>
      <w:pPr>
        <w:pStyle w:val="Bibliography"/>
        <w:spacing w:lineRule="auto" w:line="480"/>
        <w:rPr/>
      </w:pPr>
      <w:bookmarkStart w:id="29" w:name="ref-RN5"/>
      <w:r>
        <w:rPr/>
        <w:t xml:space="preserve">5. </w:t>
        <w:tab/>
        <w:t xml:space="preserve">Svatek RS, Hollenbeck BK, Holmäng S, Lee R, Kim SP, Stenzl A, et al. </w:t>
      </w:r>
      <w:hyperlink r:id="rId42">
        <w:r>
          <w:rPr>
            <w:rStyle w:val="Hyperlink"/>
          </w:rPr>
          <w:t>The economics of bladder cancer: Costs and considerations of caring for this disease</w:t>
        </w:r>
      </w:hyperlink>
      <w:r>
        <w:rPr/>
        <w:t xml:space="preserve">. Eur Urol. 2014;66(2):253–62. </w:t>
      </w:r>
      <w:bookmarkEnd w:id="29"/>
    </w:p>
    <w:p>
      <w:pPr>
        <w:pStyle w:val="Bibliography"/>
        <w:spacing w:lineRule="auto" w:line="480"/>
        <w:rPr/>
      </w:pPr>
      <w:bookmarkStart w:id="30" w:name="ref-RN6"/>
      <w:r>
        <w:rPr/>
        <w:t xml:space="preserve">6. </w:t>
        <w:tab/>
        <w:t xml:space="preserve">Joyce DD, Sharma V, Williams SB. Cost-effectiveness and economic impact of bladder cancer management: An updated review of the literature. PharmacoEconomics [Internet]. 2023;41(7):751–69. Available from: </w:t>
      </w:r>
      <w:hyperlink r:id="rId43">
        <w:r>
          <w:rPr>
            <w:rStyle w:val="Hyperlink"/>
          </w:rPr>
          <w:t>https://doi.org/10.1007/s40273-023-01273-8</w:t>
        </w:r>
      </w:hyperlink>
      <w:bookmarkEnd w:id="30"/>
    </w:p>
    <w:p>
      <w:pPr>
        <w:pStyle w:val="Bibliography"/>
        <w:spacing w:lineRule="auto" w:line="480"/>
        <w:rPr/>
      </w:pPr>
      <w:bookmarkStart w:id="31" w:name="ref-RN7"/>
      <w:r>
        <w:rPr/>
        <w:t xml:space="preserve">7. </w:t>
        <w:tab/>
        <w:t xml:space="preserve">Li Ping W, Xiaonan X, Haridah A, Chuo Yew T, Hui Meng T, Yulan L. Patient- and caregiver-related factors affecting family caregiver burden of urologic cancer patients. Urologic Oncology: Seminars and Original Investigations [Internet]. 2024;42(8):245.e1–8. Available from: </w:t>
      </w:r>
      <w:hyperlink r:id="rId44">
        <w:r>
          <w:rPr>
            <w:rStyle w:val="Hyperlink"/>
          </w:rPr>
          <w:t>https://www.sciencedirect.com/science/article/pii/S1078143924004204</w:t>
        </w:r>
      </w:hyperlink>
      <w:bookmarkEnd w:id="31"/>
    </w:p>
    <w:p>
      <w:pPr>
        <w:pStyle w:val="Bibliography"/>
        <w:spacing w:lineRule="auto" w:line="480"/>
        <w:rPr/>
      </w:pPr>
      <w:bookmarkStart w:id="32" w:name="ref-RN14"/>
      <w:r>
        <w:rPr/>
        <w:t xml:space="preserve">8. </w:t>
        <w:tab/>
        <w:t xml:space="preserve">Amin RW, Stafford B, Guttmann RP. </w:t>
      </w:r>
      <w:hyperlink r:id="rId45">
        <w:r>
          <w:rPr>
            <w:rStyle w:val="Hyperlink"/>
          </w:rPr>
          <w:t>A spatial study of bladder cancer mortality and incidence in the contiguous US: 2000-2014</w:t>
        </w:r>
      </w:hyperlink>
      <w:r>
        <w:rPr/>
        <w:t xml:space="preserve">. Sci Total Environ. 2019;670:806–13. </w:t>
      </w:r>
      <w:bookmarkEnd w:id="32"/>
    </w:p>
    <w:p>
      <w:pPr>
        <w:pStyle w:val="Bibliography"/>
        <w:spacing w:lineRule="auto" w:line="480"/>
        <w:rPr/>
      </w:pPr>
      <w:bookmarkStart w:id="33" w:name="ref-RN15"/>
      <w:r>
        <w:rPr/>
        <w:t xml:space="preserve">9. </w:t>
        <w:tab/>
        <w:t xml:space="preserve">Ghazwani Y, Alghafees M, Suheb MK, Shafqat A, Sabbah BN, Arabi TZ, et al. </w:t>
      </w:r>
      <w:hyperlink r:id="rId46">
        <w:r>
          <w:rPr>
            <w:rStyle w:val="Hyperlink"/>
          </w:rPr>
          <w:t>Trends in genitourinary cancer mortality in the united states: Analysis of the CDC-WONDER database 1999-2020</w:t>
        </w:r>
      </w:hyperlink>
      <w:r>
        <w:rPr/>
        <w:t xml:space="preserve">. Front Public Health. 2024;12:1354663. </w:t>
      </w:r>
      <w:bookmarkEnd w:id="33"/>
    </w:p>
    <w:p>
      <w:pPr>
        <w:pStyle w:val="Bibliography"/>
        <w:spacing w:lineRule="auto" w:line="480"/>
        <w:rPr/>
      </w:pPr>
      <w:bookmarkStart w:id="34" w:name="ref-RN16"/>
      <w:r>
        <w:rPr/>
        <w:t xml:space="preserve">10. </w:t>
        <w:tab/>
        <w:t xml:space="preserve">Schafer EJ, Jemal A, Wiese D, Sung H, Kratzer TB, Islami F, et al. </w:t>
      </w:r>
      <w:hyperlink r:id="rId47">
        <w:r>
          <w:rPr>
            <w:rStyle w:val="Hyperlink"/>
          </w:rPr>
          <w:t>Disparities and trends in genitourinary cancer incidence and mortality in the USA</w:t>
        </w:r>
      </w:hyperlink>
      <w:r>
        <w:rPr/>
        <w:t xml:space="preserve">. Eur Urol. 2023;84(1):117–26. </w:t>
      </w:r>
      <w:bookmarkEnd w:id="34"/>
    </w:p>
    <w:p>
      <w:pPr>
        <w:pStyle w:val="Bibliography"/>
        <w:spacing w:lineRule="auto" w:line="480"/>
        <w:rPr/>
      </w:pPr>
      <w:bookmarkStart w:id="35" w:name="ref-RN17"/>
      <w:r>
        <w:rPr/>
        <w:t xml:space="preserve">11. </w:t>
        <w:tab/>
        <w:t xml:space="preserve">Smith ND, Prasad SM, Patel AR, Weiner AB, Pariser JJ, Razmaria A, et al. </w:t>
      </w:r>
      <w:hyperlink r:id="rId48">
        <w:r>
          <w:rPr>
            <w:rStyle w:val="Hyperlink"/>
          </w:rPr>
          <w:t>Bladder cancer mortality in the united states: A geographic and temporal analysis of socioeconomic and environmental factors</w:t>
        </w:r>
      </w:hyperlink>
      <w:r>
        <w:rPr/>
        <w:t xml:space="preserve">. J Urol. 2016;195(2):290–6. </w:t>
      </w:r>
      <w:bookmarkEnd w:id="35"/>
    </w:p>
    <w:p>
      <w:pPr>
        <w:pStyle w:val="Bibliography"/>
        <w:spacing w:lineRule="auto" w:line="480"/>
        <w:rPr/>
      </w:pPr>
      <w:bookmarkStart w:id="36" w:name="ref-RN18"/>
      <w:r>
        <w:rPr/>
        <w:t xml:space="preserve">12. </w:t>
        <w:tab/>
        <w:t xml:space="preserve">Prevention NCI&amp;C for DC and. State cancer profiles [Internet]. Vol. 2025. 2023. Available from: </w:t>
      </w:r>
      <w:hyperlink r:id="rId49">
        <w:r>
          <w:rPr>
            <w:rStyle w:val="Hyperlink"/>
          </w:rPr>
          <w:t>https://statecancerprofiles.cancer.gov/index.html</w:t>
        </w:r>
      </w:hyperlink>
      <w:bookmarkEnd w:id="36"/>
    </w:p>
    <w:p>
      <w:pPr>
        <w:pStyle w:val="Bibliography"/>
        <w:spacing w:lineRule="auto" w:line="480"/>
        <w:rPr/>
      </w:pPr>
      <w:bookmarkStart w:id="37" w:name="ref-RN19"/>
      <w:r>
        <w:rPr/>
        <w:t xml:space="preserve">13. </w:t>
        <w:tab/>
        <w:t xml:space="preserve">Pompa IR, Qi D, Ghosh A, Goldberg SI, Chino F, Efstathiou JA, et al. </w:t>
      </w:r>
      <w:hyperlink r:id="rId50">
        <w:r>
          <w:rPr>
            <w:rStyle w:val="Hyperlink"/>
          </w:rPr>
          <w:t>Longitudinal analysis of bladder cancer-specific mortality trends in the united states</w:t>
        </w:r>
      </w:hyperlink>
      <w:r>
        <w:rPr/>
        <w:t xml:space="preserve">. Bladder Cancer. 2023;9(4):345–53. </w:t>
      </w:r>
      <w:bookmarkEnd w:id="37"/>
    </w:p>
    <w:p>
      <w:pPr>
        <w:pStyle w:val="Bibliography"/>
        <w:spacing w:lineRule="auto" w:line="480"/>
        <w:rPr/>
      </w:pPr>
      <w:bookmarkStart w:id="38" w:name="ref-RN20"/>
      <w:r>
        <w:rPr/>
        <w:t xml:space="preserve">14. </w:t>
        <w:tab/>
        <w:t xml:space="preserve">Hasan S, Lazarev S, Garg M, Mehta K, Press RH, Chhabra A, et al. </w:t>
      </w:r>
      <w:hyperlink r:id="rId51">
        <w:r>
          <w:rPr>
            <w:rStyle w:val="Hyperlink"/>
          </w:rPr>
          <w:t>Racial inequity and other social disparities in the diagnosis and management of bladder cancer</w:t>
        </w:r>
      </w:hyperlink>
      <w:r>
        <w:rPr/>
        <w:t xml:space="preserve">. Cancer Med. 2023;12(1):640–50. </w:t>
      </w:r>
      <w:bookmarkEnd w:id="38"/>
    </w:p>
    <w:p>
      <w:pPr>
        <w:pStyle w:val="Bibliography"/>
        <w:spacing w:lineRule="auto" w:line="480"/>
        <w:rPr/>
      </w:pPr>
      <w:bookmarkStart w:id="39" w:name="ref-RN22"/>
      <w:r>
        <w:rPr/>
        <w:t xml:space="preserve">15. </w:t>
        <w:tab/>
        <w:t xml:space="preserve">Sung H, Ferlay J, Siegel RL, Laversanne M, Soerjomataram I, Jemal A, et al. </w:t>
      </w:r>
      <w:hyperlink r:id="rId52">
        <w:r>
          <w:rPr>
            <w:rStyle w:val="Hyperlink"/>
          </w:rPr>
          <w:t>Global cancer statistics 2020: GLOBOCAN estimates of incidence and mortality worldwide for 36 cancers in 185 countries</w:t>
        </w:r>
      </w:hyperlink>
      <w:r>
        <w:rPr/>
        <w:t xml:space="preserve">. CA Cancer J Clin. 2021;71(3):209–49. </w:t>
      </w:r>
      <w:bookmarkEnd w:id="39"/>
    </w:p>
    <w:p>
      <w:pPr>
        <w:pStyle w:val="Bibliography"/>
        <w:spacing w:lineRule="auto" w:line="480"/>
        <w:rPr/>
      </w:pPr>
      <w:bookmarkStart w:id="40" w:name="ref-RN23"/>
      <w:r>
        <w:rPr/>
        <w:t xml:space="preserve">16. </w:t>
        <w:tab/>
        <w:t xml:space="preserve">Liu S, Yang T, Na R, Hu M, Zhang L, Fu Y, et al. </w:t>
      </w:r>
      <w:hyperlink r:id="rId53">
        <w:r>
          <w:rPr>
            <w:rStyle w:val="Hyperlink"/>
          </w:rPr>
          <w:t>The impact of female gender on bladder cancer-specific death risk after radical cystectomy: A meta-analysis of 27,912 patients</w:t>
        </w:r>
      </w:hyperlink>
      <w:r>
        <w:rPr/>
        <w:t xml:space="preserve">. Int Urol Nephrol. 2015;47(6):951–8. </w:t>
      </w:r>
      <w:bookmarkEnd w:id="40"/>
    </w:p>
    <w:p>
      <w:pPr>
        <w:pStyle w:val="Bibliography"/>
        <w:spacing w:lineRule="auto" w:line="480"/>
        <w:rPr/>
      </w:pPr>
      <w:bookmarkStart w:id="41" w:name="ref-ferrari2024"/>
      <w:r>
        <w:rPr/>
        <w:t xml:space="preserve">17. </w:t>
        <w:tab/>
        <w:t xml:space="preserve">Ferrari AJ, Santomauro DF, Aali A, Abate YH, Abbafati C, Abbastabar H, et al. Global incidence, prevalence, years lived with disability (YLDs), disability-adjusted life-years (DALYs), and healthy life expectancy (HALE) for 371 diseases and injuries in 204 countries and territories and 811 subnational locations, 19902021: a systematic analysis for the Global Burden of Disease Study 2021. The Lancet [Internet]. 2024 May;403(10440):2133–61. Available from: </w:t>
      </w:r>
      <w:hyperlink r:id="rId54">
        <w:r>
          <w:rPr>
            <w:rStyle w:val="Hyperlink"/>
          </w:rPr>
          <w:t>http://dx.doi.org/10.1016/S0140-6736(24)00757-8</w:t>
        </w:r>
      </w:hyperlink>
      <w:bookmarkEnd w:id="41"/>
    </w:p>
    <w:p>
      <w:pPr>
        <w:pStyle w:val="Bibliography"/>
        <w:spacing w:lineRule="auto" w:line="480"/>
        <w:rPr/>
      </w:pPr>
      <w:bookmarkStart w:id="42" w:name="ref-naghavi2024"/>
      <w:r>
        <w:rPr/>
        <w:t xml:space="preserve">18. </w:t>
        <w:tab/>
        <w:t xml:space="preserve">Naghavi M, Ong KL, Aali A, Ababneh HS, Abate YH, Abbafati C, et al. Global burden of 288 causes of death and life expectancy decomposition in 204 countries and territories and 811 subnational locations, 19902021: a systematic analysis for the Global Burden of Disease Study 2021. The Lancet [Internet]. 2024 May;403(10440):2100–32. Available from: </w:t>
      </w:r>
      <w:hyperlink r:id="rId55">
        <w:r>
          <w:rPr>
            <w:rStyle w:val="Hyperlink"/>
          </w:rPr>
          <w:t>http://dx.doi.org/10.1016/s0140-6736(24)00367-2</w:t>
        </w:r>
      </w:hyperlink>
      <w:bookmarkEnd w:id="42"/>
    </w:p>
    <w:p>
      <w:pPr>
        <w:pStyle w:val="Bibliography"/>
        <w:spacing w:lineRule="auto" w:line="480"/>
        <w:rPr/>
      </w:pPr>
      <w:bookmarkStart w:id="43" w:name="ref-feigin2021"/>
      <w:r>
        <w:rPr/>
        <w:t xml:space="preserve">19. </w:t>
        <w:tab/>
        <w:t xml:space="preserve">Feigin VL, Stark BA, Johnson CO, Roth GA, Bisignano C, Abady GG, et al. Global, regional, and national burden of stroke and its risk factors, 19902019: a systematic analysis for the Global Burden of Disease Study 2019. The Lancet Neurology [Internet]. 2021 Oct;20(10):795–820. Available from: </w:t>
      </w:r>
      <w:hyperlink r:id="rId56">
        <w:r>
          <w:rPr>
            <w:rStyle w:val="Hyperlink"/>
          </w:rPr>
          <w:t>http://dx.doi.org/10.1016/s1474-4422(21)00252-0</w:t>
        </w:r>
      </w:hyperlink>
      <w:bookmarkEnd w:id="43"/>
    </w:p>
    <w:p>
      <w:pPr>
        <w:pStyle w:val="Bibliography"/>
        <w:spacing w:lineRule="auto" w:line="480"/>
        <w:rPr/>
      </w:pPr>
      <w:bookmarkStart w:id="44" w:name="X4857e18fa263add03d367ee42aaf3b3ec4487f5"/>
      <w:r>
        <w:rPr/>
        <w:t xml:space="preserve">20. </w:t>
        <w:tab/>
        <w:t xml:space="preserve">Institute For Health Metrics And Evaluation. Global burden of disease study 2021 (GBD 2021) socio-demographic index (SDI) 19502021 [Internet]. Institute for Health Metrics; Evaluation; 2024. Available from: </w:t>
      </w:r>
      <w:hyperlink r:id="rId57">
        <w:r>
          <w:rPr>
            <w:rStyle w:val="Hyperlink"/>
          </w:rPr>
          <w:t>https://ghdx.healthdata.org/node/548352</w:t>
        </w:r>
      </w:hyperlink>
      <w:bookmarkEnd w:id="44"/>
    </w:p>
    <w:p>
      <w:pPr>
        <w:pStyle w:val="Bibliography"/>
        <w:spacing w:lineRule="auto" w:line="480"/>
        <w:rPr/>
      </w:pPr>
      <w:bookmarkStart w:id="45" w:name="ref-base"/>
      <w:r>
        <w:rPr/>
        <w:t xml:space="preserve">21. </w:t>
        <w:tab/>
        <w:t xml:space="preserve">R Core Team. R: A language and environment for statistical computing [Internet]. Vienna, Austria: R Foundation for Statistical Computing; 2025. Available from: </w:t>
      </w:r>
      <w:hyperlink r:id="rId58">
        <w:r>
          <w:rPr>
            <w:rStyle w:val="Hyperlink"/>
          </w:rPr>
          <w:t>https://www.R-project.org/</w:t>
        </w:r>
      </w:hyperlink>
      <w:bookmarkEnd w:id="45"/>
    </w:p>
    <w:p>
      <w:pPr>
        <w:pStyle w:val="Bibliography"/>
        <w:spacing w:lineRule="auto" w:line="480"/>
        <w:rPr/>
      </w:pPr>
      <w:bookmarkStart w:id="46" w:name="ref-beepr"/>
      <w:r>
        <w:rPr/>
        <w:t xml:space="preserve">22. </w:t>
        <w:tab/>
        <w:t xml:space="preserve">Bååth R. beepr: Easily play notification sounds on any platform [Internet]. 2024. Available from: </w:t>
      </w:r>
      <w:hyperlink r:id="rId59">
        <w:r>
          <w:rPr>
            <w:rStyle w:val="Hyperlink"/>
          </w:rPr>
          <w:t>https://github.com/rasmusab/beepr</w:t>
        </w:r>
      </w:hyperlink>
      <w:bookmarkEnd w:id="46"/>
    </w:p>
    <w:p>
      <w:pPr>
        <w:pStyle w:val="Bibliography"/>
        <w:spacing w:lineRule="auto" w:line="480"/>
        <w:rPr/>
      </w:pPr>
      <w:bookmarkStart w:id="47" w:name="ref-flextable"/>
      <w:r>
        <w:rPr/>
        <w:t xml:space="preserve">23. </w:t>
        <w:tab/>
        <w:t xml:space="preserve">Gohel D, Skintzos P. flextable: Functions for tabular reporting [Internet]. 2025. Available from: </w:t>
      </w:r>
      <w:hyperlink r:id="rId60">
        <w:r>
          <w:rPr>
            <w:rStyle w:val="Hyperlink"/>
          </w:rPr>
          <w:t>https://ardata-fr.github.io/flextable-book/</w:t>
        </w:r>
      </w:hyperlink>
      <w:bookmarkEnd w:id="47"/>
    </w:p>
    <w:p>
      <w:pPr>
        <w:pStyle w:val="Bibliography"/>
        <w:spacing w:lineRule="auto" w:line="480"/>
        <w:rPr/>
      </w:pPr>
      <w:bookmarkStart w:id="48" w:name="ref-furrr"/>
      <w:r>
        <w:rPr/>
        <w:t xml:space="preserve">24. </w:t>
        <w:tab/>
        <w:t xml:space="preserve">Vaughan D, Dancho M. furrr: Apply mapping functions in parallel using futures [Internet]. 2022. Available from: </w:t>
      </w:r>
      <w:hyperlink r:id="rId61">
        <w:r>
          <w:rPr>
            <w:rStyle w:val="Hyperlink"/>
          </w:rPr>
          <w:t>https://github.com/DavisVaughan/furrr</w:t>
        </w:r>
      </w:hyperlink>
      <w:bookmarkEnd w:id="48"/>
    </w:p>
    <w:p>
      <w:pPr>
        <w:pStyle w:val="Bibliography"/>
        <w:spacing w:lineRule="auto" w:line="480"/>
        <w:rPr/>
      </w:pPr>
      <w:bookmarkStart w:id="49" w:name="ref-future"/>
      <w:r>
        <w:rPr/>
        <w:t xml:space="preserve">25. </w:t>
        <w:tab/>
        <w:t xml:space="preserve">Bengtsson H. A unifying framework for parallel and distributed processing in r using futures. The R Journal [Internet]. 2021;13(2):208–27. Available from: </w:t>
      </w:r>
      <w:hyperlink r:id="rId62">
        <w:r>
          <w:rPr>
            <w:rStyle w:val="Hyperlink"/>
          </w:rPr>
          <w:t>https://doi.org/10.32614/RJ-2021-048</w:t>
        </w:r>
      </w:hyperlink>
      <w:bookmarkEnd w:id="49"/>
    </w:p>
    <w:p>
      <w:pPr>
        <w:pStyle w:val="Bibliography"/>
        <w:spacing w:lineRule="auto" w:line="480"/>
        <w:rPr/>
      </w:pPr>
      <w:bookmarkStart w:id="50" w:name="ref-geofacet"/>
      <w:r>
        <w:rPr/>
        <w:t xml:space="preserve">26. </w:t>
        <w:tab/>
        <w:t xml:space="preserve">Hafen R. geofacet: “ggplot2” faceting utilities for geographical data [Internet]. Available from: </w:t>
      </w:r>
      <w:hyperlink r:id="rId63">
        <w:r>
          <w:rPr>
            <w:rStyle w:val="Hyperlink"/>
          </w:rPr>
          <w:t>https://github.com/hafen/geofacet</w:t>
        </w:r>
      </w:hyperlink>
      <w:bookmarkEnd w:id="50"/>
    </w:p>
    <w:p>
      <w:pPr>
        <w:pStyle w:val="Bibliography"/>
        <w:spacing w:lineRule="auto" w:line="480"/>
        <w:rPr/>
      </w:pPr>
      <w:bookmarkStart w:id="51" w:name="ref-gganimate"/>
      <w:r>
        <w:rPr/>
        <w:t xml:space="preserve">27. </w:t>
        <w:tab/>
        <w:t xml:space="preserve">Pedersen TL, Robinson D. gganimate: A grammar of animated graphics [Internet]. 2025. Available from: </w:t>
      </w:r>
      <w:hyperlink r:id="rId64">
        <w:r>
          <w:rPr>
            <w:rStyle w:val="Hyperlink"/>
          </w:rPr>
          <w:t>https://gganimate.com</w:t>
        </w:r>
      </w:hyperlink>
      <w:bookmarkEnd w:id="51"/>
    </w:p>
    <w:p>
      <w:pPr>
        <w:pStyle w:val="Bibliography"/>
        <w:spacing w:lineRule="auto" w:line="480"/>
        <w:rPr/>
      </w:pPr>
      <w:bookmarkStart w:id="52" w:name="ref-ggbump"/>
      <w:r>
        <w:rPr/>
        <w:t xml:space="preserve">28. </w:t>
        <w:tab/>
        <w:t xml:space="preserve">Sjoberg D. ggbump: Bump chart and sigmoid curves. 2020. </w:t>
      </w:r>
      <w:bookmarkEnd w:id="52"/>
    </w:p>
    <w:p>
      <w:pPr>
        <w:pStyle w:val="Bibliography"/>
        <w:spacing w:lineRule="auto" w:line="480"/>
        <w:rPr/>
      </w:pPr>
      <w:bookmarkStart w:id="53" w:name="ref-ggnewscale"/>
      <w:r>
        <w:rPr/>
        <w:t xml:space="preserve">29. </w:t>
        <w:tab/>
        <w:t xml:space="preserve">Campitelli E. ggnewscale: Multiple fill and colour scales in “ggplot2” [Internet]. 2025. Available from: </w:t>
      </w:r>
      <w:hyperlink r:id="rId65">
        <w:r>
          <w:rPr>
            <w:rStyle w:val="Hyperlink"/>
          </w:rPr>
          <w:t>https://eliocamp.github.io/ggnewscale/</w:t>
        </w:r>
      </w:hyperlink>
      <w:bookmarkEnd w:id="53"/>
    </w:p>
    <w:p>
      <w:pPr>
        <w:pStyle w:val="Bibliography"/>
        <w:spacing w:lineRule="auto" w:line="480"/>
        <w:rPr/>
      </w:pPr>
      <w:bookmarkStart w:id="54" w:name="ref-ggtext"/>
      <w:r>
        <w:rPr/>
        <w:t xml:space="preserve">30. </w:t>
        <w:tab/>
        <w:t xml:space="preserve">Wilke CO, Wiernik BM. ggtext: Improved text rendering support for “ggplot2” [Internet]. 2022. Available from: </w:t>
      </w:r>
      <w:hyperlink r:id="rId66">
        <w:r>
          <w:rPr>
            <w:rStyle w:val="Hyperlink"/>
          </w:rPr>
          <w:t>https://wilkelab.org/ggtext/</w:t>
        </w:r>
      </w:hyperlink>
      <w:bookmarkEnd w:id="54"/>
    </w:p>
    <w:p>
      <w:pPr>
        <w:pStyle w:val="Bibliography"/>
        <w:spacing w:lineRule="auto" w:line="480"/>
        <w:rPr/>
      </w:pPr>
      <w:bookmarkStart w:id="55" w:name="ref-glue"/>
      <w:r>
        <w:rPr/>
        <w:t xml:space="preserve">31. </w:t>
        <w:tab/>
        <w:t xml:space="preserve">Hester J, Bryan J. glue: Interpreted string literals [Internet]. 2024. Available from: </w:t>
      </w:r>
      <w:hyperlink r:id="rId67">
        <w:r>
          <w:rPr>
            <w:rStyle w:val="Hyperlink"/>
          </w:rPr>
          <w:t>https://glue.tidyverse.org/</w:t>
        </w:r>
      </w:hyperlink>
      <w:bookmarkEnd w:id="55"/>
    </w:p>
    <w:p>
      <w:pPr>
        <w:pStyle w:val="Bibliography"/>
        <w:spacing w:lineRule="auto" w:line="480"/>
        <w:rPr/>
      </w:pPr>
      <w:bookmarkStart w:id="56" w:name="ref-knitr2014"/>
      <w:r>
        <w:rPr/>
        <w:t xml:space="preserve">32. </w:t>
        <w:tab/>
        <w:t xml:space="preserve">Xie Y. knitr: A comprehensive tool for reproducible research in R. In: Stodden V, Leisch F, Peng RD, editors. Implementing reproducible computational research. Chapman; Hall/CRC; 2014. </w:t>
      </w:r>
      <w:bookmarkEnd w:id="56"/>
    </w:p>
    <w:p>
      <w:pPr>
        <w:pStyle w:val="Bibliography"/>
        <w:spacing w:lineRule="auto" w:line="480"/>
        <w:rPr/>
      </w:pPr>
      <w:bookmarkStart w:id="57" w:name="ref-knitr2015"/>
      <w:r>
        <w:rPr/>
        <w:t xml:space="preserve">33. </w:t>
        <w:tab/>
        <w:t xml:space="preserve">Xie Y. Dynamic documents with R and knitr [Internet]. 2nd ed. Boca Raton, Florida: Chapman; Hall/CRC; 2015. Available from: </w:t>
      </w:r>
      <w:hyperlink r:id="rId68">
        <w:r>
          <w:rPr>
            <w:rStyle w:val="Hyperlink"/>
          </w:rPr>
          <w:t>https://yihui.org/knitr/</w:t>
        </w:r>
      </w:hyperlink>
      <w:bookmarkEnd w:id="57"/>
    </w:p>
    <w:p>
      <w:pPr>
        <w:pStyle w:val="Bibliography"/>
        <w:spacing w:lineRule="auto" w:line="480"/>
        <w:rPr/>
      </w:pPr>
      <w:bookmarkStart w:id="58" w:name="ref-knitr2025"/>
      <w:r>
        <w:rPr/>
        <w:t xml:space="preserve">34. </w:t>
        <w:tab/>
        <w:t xml:space="preserve">Xie Y. knitr: A general-purpose package for dynamic report generation in R [Internet]. 2025. Available from: </w:t>
      </w:r>
      <w:hyperlink r:id="rId69">
        <w:r>
          <w:rPr>
            <w:rStyle w:val="Hyperlink"/>
          </w:rPr>
          <w:t>https://yihui.org/knitr/</w:t>
        </w:r>
      </w:hyperlink>
      <w:bookmarkEnd w:id="58"/>
    </w:p>
    <w:p>
      <w:pPr>
        <w:pStyle w:val="Bibliography"/>
        <w:spacing w:lineRule="auto" w:line="480"/>
        <w:rPr/>
      </w:pPr>
      <w:bookmarkStart w:id="59" w:name="ref-officer"/>
      <w:r>
        <w:rPr/>
        <w:t xml:space="preserve">35. </w:t>
        <w:tab/>
        <w:t xml:space="preserve">Gohel D, Moog S, Heckmann M. officer: Manipulation of microsoft word and PowerPoint documents [Internet]. 2025. Available from: </w:t>
      </w:r>
      <w:hyperlink r:id="rId70">
        <w:r>
          <w:rPr>
            <w:rStyle w:val="Hyperlink"/>
          </w:rPr>
          <w:t>https://ardata-fr.github.io/officeverse/</w:t>
        </w:r>
      </w:hyperlink>
      <w:bookmarkEnd w:id="59"/>
    </w:p>
    <w:p>
      <w:pPr>
        <w:pStyle w:val="Bibliography"/>
        <w:spacing w:lineRule="auto" w:line="480"/>
        <w:rPr/>
      </w:pPr>
      <w:bookmarkStart w:id="60" w:name="ref-paletteer"/>
      <w:r>
        <w:rPr/>
        <w:t xml:space="preserve">36. </w:t>
        <w:tab/>
        <w:t xml:space="preserve">Hvitfeldt E. paletteer: Comprehensive collection of color palettes [Internet]. 2021. Available from: </w:t>
      </w:r>
      <w:hyperlink r:id="rId71">
        <w:r>
          <w:rPr>
            <w:rStyle w:val="Hyperlink"/>
          </w:rPr>
          <w:t>https://github.com/EmilHvitfeldt/paletteer</w:t>
        </w:r>
      </w:hyperlink>
      <w:bookmarkEnd w:id="60"/>
    </w:p>
    <w:p>
      <w:pPr>
        <w:pStyle w:val="Bibliography"/>
        <w:spacing w:lineRule="auto" w:line="480"/>
        <w:rPr/>
      </w:pPr>
      <w:bookmarkStart w:id="61" w:name="ref-patchwork"/>
      <w:r>
        <w:rPr/>
        <w:t xml:space="preserve">37. </w:t>
        <w:tab/>
        <w:t xml:space="preserve">Pedersen TL. patchwork: The composer of plots [Internet]. 2025. Available from: </w:t>
      </w:r>
      <w:hyperlink r:id="rId72">
        <w:r>
          <w:rPr>
            <w:rStyle w:val="Hyperlink"/>
          </w:rPr>
          <w:t>https://patchwork.data-imaginist.com</w:t>
        </w:r>
      </w:hyperlink>
      <w:bookmarkEnd w:id="61"/>
    </w:p>
    <w:p>
      <w:pPr>
        <w:pStyle w:val="Bibliography"/>
        <w:spacing w:lineRule="auto" w:line="480"/>
        <w:rPr/>
      </w:pPr>
      <w:bookmarkStart w:id="62" w:name="ref-renv"/>
      <w:r>
        <w:rPr/>
        <w:t xml:space="preserve">38. </w:t>
        <w:tab/>
        <w:t xml:space="preserve">Ushey K, Wickham H. renv: Project environments [Internet]. 2025. Available from: </w:t>
      </w:r>
      <w:hyperlink r:id="rId73">
        <w:r>
          <w:rPr>
            <w:rStyle w:val="Hyperlink"/>
          </w:rPr>
          <w:t>https://rstudio.github.io/renv/</w:t>
        </w:r>
      </w:hyperlink>
      <w:bookmarkEnd w:id="62"/>
    </w:p>
    <w:p>
      <w:pPr>
        <w:pStyle w:val="Bibliography"/>
        <w:spacing w:lineRule="auto" w:line="480"/>
        <w:rPr/>
      </w:pPr>
      <w:bookmarkStart w:id="63" w:name="ref-rmarkdown2018"/>
      <w:r>
        <w:rPr/>
        <w:t xml:space="preserve">39. </w:t>
        <w:tab/>
        <w:t xml:space="preserve">Xie Y, Allaire JJ, Grolemund G. R markdown: The definitive guide [Internet]. Boca Raton, Florida: Chapman; Hall/CRC; 2018. Available from: </w:t>
      </w:r>
      <w:hyperlink r:id="rId74">
        <w:r>
          <w:rPr>
            <w:rStyle w:val="Hyperlink"/>
          </w:rPr>
          <w:t>https://bookdown.org/yihui/rmarkdown</w:t>
        </w:r>
      </w:hyperlink>
      <w:bookmarkEnd w:id="63"/>
    </w:p>
    <w:p>
      <w:pPr>
        <w:pStyle w:val="Bibliography"/>
        <w:spacing w:lineRule="auto" w:line="480"/>
        <w:rPr/>
      </w:pPr>
      <w:bookmarkStart w:id="64" w:name="ref-rmarkdown2020"/>
      <w:r>
        <w:rPr/>
        <w:t xml:space="preserve">40. </w:t>
        <w:tab/>
        <w:t xml:space="preserve">Xie Y, Dervieux C, Riederer E. R markdown cookbook [Internet]. Boca Raton, Florida: Chapman; Hall/CRC; 2020. Available from: </w:t>
      </w:r>
      <w:hyperlink r:id="rId75">
        <w:r>
          <w:rPr>
            <w:rStyle w:val="Hyperlink"/>
          </w:rPr>
          <w:t>https://bookdown.org/yihui/rmarkdown-cookbook</w:t>
        </w:r>
      </w:hyperlink>
      <w:bookmarkEnd w:id="64"/>
    </w:p>
    <w:p>
      <w:pPr>
        <w:pStyle w:val="Bibliography"/>
        <w:spacing w:lineRule="auto" w:line="480"/>
        <w:rPr/>
      </w:pPr>
      <w:bookmarkStart w:id="65" w:name="ref-rmarkdown2025"/>
      <w:r>
        <w:rPr/>
        <w:t xml:space="preserve">41. </w:t>
        <w:tab/>
        <w:t xml:space="preserve">Allaire J, Xie Y, Dervieux C, McPherson J, Luraschi J, Ushey K, et al. rmarkdown: Dynamic documents for r [Internet]. 2025. Available from: </w:t>
      </w:r>
      <w:hyperlink r:id="rId76">
        <w:r>
          <w:rPr>
            <w:rStyle w:val="Hyperlink"/>
          </w:rPr>
          <w:t>https://github.com/rstudio/rmarkdown</w:t>
        </w:r>
      </w:hyperlink>
      <w:bookmarkEnd w:id="65"/>
    </w:p>
    <w:p>
      <w:pPr>
        <w:pStyle w:val="Bibliography"/>
        <w:spacing w:lineRule="auto" w:line="480"/>
        <w:rPr/>
      </w:pPr>
      <w:bookmarkStart w:id="66" w:name="ref-scales"/>
      <w:r>
        <w:rPr/>
        <w:t xml:space="preserve">42. </w:t>
        <w:tab/>
        <w:t xml:space="preserve">Wickham H, Pedersen TL, Seidel D. scales: Scale functions for visualization [Internet]. 2025. Available from: </w:t>
      </w:r>
      <w:hyperlink r:id="rId77">
        <w:r>
          <w:rPr>
            <w:rStyle w:val="Hyperlink"/>
          </w:rPr>
          <w:t>https://scales.r-lib.org</w:t>
        </w:r>
      </w:hyperlink>
      <w:bookmarkEnd w:id="66"/>
    </w:p>
    <w:p>
      <w:pPr>
        <w:pStyle w:val="Bibliography"/>
        <w:spacing w:lineRule="auto" w:line="480"/>
        <w:rPr/>
      </w:pPr>
      <w:bookmarkStart w:id="67" w:name="ref-svglite"/>
      <w:r>
        <w:rPr/>
        <w:t xml:space="preserve">43. </w:t>
        <w:tab/>
        <w:t xml:space="preserve">Wickham H, Henry L, Pedersen TL, Luciani TJ, Decorde M, Lise V. svglite: An “SVG” graphics device [Internet]. 2025. Available from: </w:t>
      </w:r>
      <w:hyperlink r:id="rId78">
        <w:r>
          <w:rPr>
            <w:rStyle w:val="Hyperlink"/>
          </w:rPr>
          <w:t>https://svglite.r-lib.org</w:t>
        </w:r>
      </w:hyperlink>
      <w:bookmarkEnd w:id="67"/>
    </w:p>
    <w:p>
      <w:pPr>
        <w:pStyle w:val="Bibliography"/>
        <w:spacing w:lineRule="auto" w:line="480"/>
        <w:rPr/>
      </w:pPr>
      <w:bookmarkStart w:id="68" w:name="ref-tidyverse"/>
      <w:r>
        <w:rPr/>
        <w:t xml:space="preserve">44. </w:t>
        <w:tab/>
        <w:t xml:space="preserve">Wickham H, Averick M, Bryan J, Chang W, McGowan LD, François R, et al. </w:t>
      </w:r>
      <w:hyperlink r:id="rId79">
        <w:r>
          <w:rPr>
            <w:rStyle w:val="Hyperlink"/>
          </w:rPr>
          <w:t>Welcome to the tidyverse</w:t>
        </w:r>
      </w:hyperlink>
      <w:r>
        <w:rPr/>
        <w:t xml:space="preserve">. Journal of Open Source Software. 2019;4(43):1686. </w:t>
      </w:r>
      <w:bookmarkEnd w:id="68"/>
    </w:p>
    <w:p>
      <w:pPr>
        <w:pStyle w:val="Bibliography"/>
        <w:spacing w:lineRule="auto" w:line="480"/>
        <w:rPr/>
      </w:pPr>
      <w:bookmarkStart w:id="69" w:name="ref-altman2003statistics"/>
      <w:r>
        <w:rPr/>
        <w:t xml:space="preserve">45. </w:t>
        <w:tab/>
        <w:t xml:space="preserve">Altman DG, Bland JM. Statistics notes: Interaction revisited: The difference between two estimates. BMJ. 2003;326(7382):219. </w:t>
      </w:r>
      <w:bookmarkEnd w:id="69"/>
    </w:p>
    <w:p>
      <w:pPr>
        <w:pStyle w:val="Bibliography"/>
        <w:spacing w:lineRule="auto" w:line="480"/>
        <w:rPr/>
      </w:pPr>
      <w:bookmarkStart w:id="70" w:name="ref-rothman2008modern"/>
      <w:r>
        <w:rPr/>
        <w:t xml:space="preserve">46. </w:t>
        <w:tab/>
        <w:t xml:space="preserve">Rothman KJ, Greenland S, Lash TL. Modern epidemiology. Lippincott Williams &amp; Wilkins; 2008. </w:t>
      </w:r>
      <w:bookmarkEnd w:id="70"/>
    </w:p>
    <w:p>
      <w:pPr>
        <w:pStyle w:val="Bibliography"/>
        <w:spacing w:lineRule="auto" w:line="480"/>
        <w:rPr/>
      </w:pPr>
      <w:bookmarkStart w:id="71" w:name="ref-cochran1977sampling"/>
      <w:r>
        <w:rPr/>
        <w:t xml:space="preserve">47. </w:t>
        <w:tab/>
        <w:t xml:space="preserve">Cochran WG. Sampling techniques. John Wiley &amp; Sons; 1977. </w:t>
      </w:r>
      <w:bookmarkEnd w:id="71"/>
    </w:p>
    <w:p>
      <w:pPr>
        <w:pStyle w:val="Bibliography"/>
        <w:spacing w:lineRule="auto" w:line="480"/>
        <w:rPr/>
      </w:pPr>
      <w:bookmarkStart w:id="72" w:name="ref-vos2020"/>
      <w:r>
        <w:rPr/>
        <w:t xml:space="preserve">48. </w:t>
        <w:tab/>
        <w:t xml:space="preserve">Vos T, Lim SS, Abbafati C, Abbas KM, Abbasi M, Abbasifard M, et al. Global burden of 369 diseases and injuries in 204 countries and territories, 19902019: a systematic analysis for the Global Burden of Disease Study 2019. The Lancet [Internet]. 2020 Oct;396(10258):1204–22. Available from: </w:t>
      </w:r>
      <w:hyperlink r:id="rId80">
        <w:r>
          <w:rPr>
            <w:rStyle w:val="Hyperlink"/>
          </w:rPr>
          <w:t>http://dx.doi.org/10.1016/S0140-6736(20)30925-9</w:t>
        </w:r>
      </w:hyperlink>
      <w:bookmarkEnd w:id="72"/>
    </w:p>
    <w:p>
      <w:pPr>
        <w:pStyle w:val="Bibliography"/>
        <w:spacing w:lineRule="auto" w:line="480"/>
        <w:rPr/>
      </w:pPr>
      <w:bookmarkStart w:id="73" w:name="ref-RN24"/>
      <w:r>
        <w:rPr/>
        <w:t xml:space="preserve">49. </w:t>
        <w:tab/>
        <w:t xml:space="preserve">Bank W. Vol. 2025. World Development Indicators; 2025. Available from: </w:t>
      </w:r>
      <w:hyperlink r:id="rId81">
        <w:r>
          <w:rPr>
            <w:rStyle w:val="Hyperlink"/>
          </w:rPr>
          <w:t>https://data.worldbank.org/indicator/SH.XPD.CHEX.PP.CD</w:t>
        </w:r>
      </w:hyperlink>
      <w:bookmarkEnd w:id="73"/>
    </w:p>
    <w:p>
      <w:pPr>
        <w:pStyle w:val="Bibliography"/>
        <w:spacing w:lineRule="auto" w:line="480"/>
        <w:rPr/>
      </w:pPr>
      <w:bookmarkStart w:id="74" w:name="ref-RN25"/>
      <w:r>
        <w:rPr/>
        <w:t xml:space="preserve">50. </w:t>
        <w:tab/>
        <w:t xml:space="preserve">Bruce LJ, Jeffrey SM, Yun Z, Ted AS, Alon ZW, Brent KH. Disparities in bladder cancer. Urologic Oncology: Seminars and Original Investigations [Internet]. 2012;30(1):81–8. Available from: </w:t>
      </w:r>
      <w:hyperlink r:id="rId82">
        <w:r>
          <w:rPr>
            <w:rStyle w:val="Hyperlink"/>
          </w:rPr>
          <w:t>https://www.sciencedirect.com/science/article/pii/S1078143911002808</w:t>
        </w:r>
      </w:hyperlink>
      <w:bookmarkEnd w:id="74"/>
    </w:p>
    <w:p>
      <w:pPr>
        <w:pStyle w:val="Bibliography"/>
        <w:spacing w:lineRule="auto" w:line="480"/>
        <w:rPr/>
      </w:pPr>
      <w:bookmarkStart w:id="75" w:name="ref-RN26"/>
      <w:r>
        <w:rPr/>
        <w:t xml:space="preserve">51. </w:t>
        <w:tab/>
        <w:t xml:space="preserve">Wong MCS, Fung FDH, Leung C, Cheung WWL, Goggins WB, Ng CF. The global epidemiology of bladder cancer: A joinpoint regression analysis of its incidence and mortality trends and projection. Scientific Reports [Internet]. 2018;8(1):1129. Available from: </w:t>
      </w:r>
      <w:hyperlink r:id="rId83">
        <w:r>
          <w:rPr>
            <w:rStyle w:val="Hyperlink"/>
          </w:rPr>
          <w:t>https://doi.org/10.1038/s41598-018-19199-z</w:t>
        </w:r>
      </w:hyperlink>
      <w:bookmarkEnd w:id="75"/>
    </w:p>
    <w:p>
      <w:pPr>
        <w:pStyle w:val="Bibliography"/>
        <w:spacing w:lineRule="auto" w:line="480"/>
        <w:rPr/>
      </w:pPr>
      <w:bookmarkStart w:id="76" w:name="ref-RN27"/>
      <w:r>
        <w:rPr/>
        <w:t xml:space="preserve">52. </w:t>
        <w:tab/>
        <w:t xml:space="preserve">Zi H, Liu MY, Luo LS, Huang Q, Luo PC, Luan HH, et al. Global burden of benign prostatic hyperplasia, urinary tract infections, urolithiasis, bladder cancer, kidney cancer, and prostate cancer from 1990 to 2021. Military Medical Research [Internet]. 2024;11(1):64. Available from: </w:t>
      </w:r>
      <w:hyperlink r:id="rId84">
        <w:r>
          <w:rPr>
            <w:rStyle w:val="Hyperlink"/>
          </w:rPr>
          <w:t>https://doi.org/10.1186/s40779-024-00569-w</w:t>
        </w:r>
      </w:hyperlink>
      <w:bookmarkEnd w:id="76"/>
    </w:p>
    <w:p>
      <w:pPr>
        <w:pStyle w:val="Bibliography"/>
        <w:spacing w:lineRule="auto" w:line="480"/>
        <w:rPr/>
      </w:pPr>
      <w:bookmarkStart w:id="77" w:name="ref-RN28"/>
      <w:r>
        <w:rPr/>
        <w:t xml:space="preserve">53. </w:t>
        <w:tab/>
        <w:t xml:space="preserve">Medicine I of M(US)R on EB. The healthcare imperative: Lowering costs and improving outcomes. In: Yong PL OL Saunders RS, editor. Washington, DC: National Academies Press (US); 2010. Available from: </w:t>
      </w:r>
      <w:hyperlink r:id="rId85">
        <w:r>
          <w:rPr>
            <w:rStyle w:val="Hyperlink"/>
          </w:rPr>
          <w:t>https://www.ncbi.nlm.nih.gov/books/NBK53914/</w:t>
        </w:r>
      </w:hyperlink>
      <w:bookmarkEnd w:id="77"/>
    </w:p>
    <w:p>
      <w:pPr>
        <w:pStyle w:val="Bibliography"/>
        <w:spacing w:lineRule="auto" w:line="480"/>
        <w:rPr/>
      </w:pPr>
      <w:bookmarkStart w:id="78" w:name="ref-RN29"/>
      <w:r>
        <w:rPr/>
        <w:t xml:space="preserve">54. </w:t>
        <w:tab/>
        <w:t xml:space="preserve">Al-Zalabani AH, Stewart KF, Wesselius A, Schols AM, Zeegers MP. </w:t>
      </w:r>
      <w:hyperlink r:id="rId86">
        <w:r>
          <w:rPr>
            <w:rStyle w:val="Hyperlink"/>
          </w:rPr>
          <w:t>Modifiable risk factors for the prevention of bladder cancer: A systematic review of meta-analyses</w:t>
        </w:r>
      </w:hyperlink>
      <w:r>
        <w:rPr/>
        <w:t xml:space="preserve">. Eur J Epidemiol. 2016;31(9):811–51. </w:t>
      </w:r>
      <w:bookmarkEnd w:id="78"/>
    </w:p>
    <w:p>
      <w:pPr>
        <w:pStyle w:val="Bibliography"/>
        <w:spacing w:lineRule="auto" w:line="480"/>
        <w:rPr/>
      </w:pPr>
      <w:bookmarkStart w:id="79" w:name="ref-RN30"/>
      <w:r>
        <w:rPr/>
        <w:t xml:space="preserve">55. </w:t>
        <w:tab/>
        <w:t xml:space="preserve">Czene K, Lichtenstein P, Hemminki K. </w:t>
      </w:r>
      <w:hyperlink r:id="rId87">
        <w:r>
          <w:rPr>
            <w:rStyle w:val="Hyperlink"/>
          </w:rPr>
          <w:t>Environmental and heritable causes of cancer among 9.6 million individuals in the swedish family-cancer database</w:t>
        </w:r>
      </w:hyperlink>
      <w:r>
        <w:rPr/>
        <w:t xml:space="preserve">. Int J Cancer. 2002;99(2):260–6. </w:t>
      </w:r>
      <w:bookmarkEnd w:id="79"/>
    </w:p>
    <w:p>
      <w:pPr>
        <w:pStyle w:val="Bibliography"/>
        <w:spacing w:lineRule="auto" w:line="480"/>
        <w:rPr/>
      </w:pPr>
      <w:bookmarkStart w:id="80" w:name="ref-RN31"/>
      <w:r>
        <w:rPr/>
        <w:t xml:space="preserve">56. </w:t>
        <w:tab/>
        <w:t xml:space="preserve">Halaseh SA, Halaseh S, Alali Y, Ashour ME, Alharayzah MJ. </w:t>
      </w:r>
      <w:hyperlink r:id="rId88">
        <w:r>
          <w:rPr>
            <w:rStyle w:val="Hyperlink"/>
          </w:rPr>
          <w:t>A review of the etiology and epidemiology of bladder cancer: All you need to know</w:t>
        </w:r>
      </w:hyperlink>
      <w:r>
        <w:rPr/>
        <w:t xml:space="preserve">. Cureus. 2022;14(7):e27330. </w:t>
      </w:r>
      <w:bookmarkEnd w:id="80"/>
    </w:p>
    <w:p>
      <w:pPr>
        <w:pStyle w:val="Bibliography"/>
        <w:spacing w:lineRule="auto" w:line="480"/>
        <w:rPr/>
      </w:pPr>
      <w:bookmarkStart w:id="81" w:name="ref-RN32"/>
      <w:r>
        <w:rPr/>
        <w:t xml:space="preserve">57. </w:t>
        <w:tab/>
        <w:t xml:space="preserve">Shariat SF, Milowsky M, Droller MJ. </w:t>
      </w:r>
      <w:hyperlink r:id="rId89">
        <w:r>
          <w:rPr>
            <w:rStyle w:val="Hyperlink"/>
          </w:rPr>
          <w:t>Bladder cancer in the elderly</w:t>
        </w:r>
      </w:hyperlink>
      <w:r>
        <w:rPr/>
        <w:t xml:space="preserve">. Urol Oncol. 2009;27(6):653–67. </w:t>
      </w:r>
      <w:bookmarkEnd w:id="81"/>
    </w:p>
    <w:p>
      <w:pPr>
        <w:pStyle w:val="Bibliography"/>
        <w:spacing w:lineRule="auto" w:line="480"/>
        <w:rPr/>
      </w:pPr>
      <w:bookmarkStart w:id="82" w:name="ref-RN33"/>
      <w:r>
        <w:rPr/>
        <w:t xml:space="preserve">58. </w:t>
        <w:tab/>
        <w:t xml:space="preserve">Cohn JA, Vekhter B, Lyttle C, Steinberg GD, Large MC. </w:t>
      </w:r>
      <w:hyperlink r:id="rId90">
        <w:r>
          <w:rPr>
            <w:rStyle w:val="Hyperlink"/>
          </w:rPr>
          <w:t>Sex disparities in diagnosis of bladder cancer after initial presentation with hematuria: A nationwide claims-based investigation</w:t>
        </w:r>
      </w:hyperlink>
      <w:r>
        <w:rPr/>
        <w:t xml:space="preserve">. Cancer. 2014;120(4):555–61. </w:t>
      </w:r>
      <w:bookmarkEnd w:id="82"/>
    </w:p>
    <w:p>
      <w:pPr>
        <w:pStyle w:val="Bibliography"/>
        <w:spacing w:lineRule="auto" w:line="480"/>
        <w:rPr/>
      </w:pPr>
      <w:bookmarkStart w:id="83" w:name="ref-RN21"/>
      <w:r>
        <w:rPr/>
        <w:t xml:space="preserve">59. </w:t>
        <w:tab/>
        <w:t xml:space="preserve">Toren P, Wilkins A, Patel K, Burley A, Gris T, Kockelbergh R, et al. </w:t>
      </w:r>
      <w:hyperlink r:id="rId91">
        <w:r>
          <w:rPr>
            <w:rStyle w:val="Hyperlink"/>
          </w:rPr>
          <w:t>The sex gap in bladder cancer survival - a missing link in bladder cancer care?</w:t>
        </w:r>
      </w:hyperlink>
      <w:r>
        <w:rPr/>
        <w:t xml:space="preserve"> Nat Rev Urol. 2024;21(3):181–92. </w:t>
      </w:r>
      <w:bookmarkEnd w:id="83"/>
    </w:p>
    <w:p>
      <w:pPr>
        <w:pStyle w:val="Bibliography"/>
        <w:spacing w:lineRule="auto" w:line="480"/>
        <w:rPr/>
      </w:pPr>
      <w:bookmarkStart w:id="84" w:name="ref-RN34"/>
      <w:r>
        <w:rPr/>
        <w:t xml:space="preserve">60. </w:t>
        <w:tab/>
        <w:t xml:space="preserve">Ghandour R, Freifeld Y, Singla N, Lotan Y. </w:t>
      </w:r>
      <w:hyperlink r:id="rId92">
        <w:r>
          <w:rPr>
            <w:rStyle w:val="Hyperlink"/>
          </w:rPr>
          <w:t>Evaluation of hematuria in a large public health care system</w:t>
        </w:r>
      </w:hyperlink>
      <w:r>
        <w:rPr/>
        <w:t xml:space="preserve">. Bladder Cancer. 2019;5(2):119–29. </w:t>
      </w:r>
      <w:bookmarkEnd w:id="84"/>
    </w:p>
    <w:p>
      <w:pPr>
        <w:pStyle w:val="Bibliography"/>
        <w:spacing w:lineRule="auto" w:line="480"/>
        <w:rPr/>
      </w:pPr>
      <w:bookmarkStart w:id="85" w:name="ref-RN35"/>
      <w:r>
        <w:rPr/>
        <w:t xml:space="preserve">61. </w:t>
        <w:tab/>
        <w:t xml:space="preserve">Barocas DA, Lotan Y, Matulewicz RS, Raman JD, Westerman ME, Kirkby E, et al. </w:t>
      </w:r>
      <w:hyperlink r:id="rId93">
        <w:r>
          <w:rPr>
            <w:rStyle w:val="Hyperlink"/>
          </w:rPr>
          <w:t>Updates to microhematuria: AUA/SUFU guideline (2025)</w:t>
        </w:r>
      </w:hyperlink>
      <w:r>
        <w:rPr/>
        <w:t xml:space="preserve">. J Urol. 2025;213(5):547–57. </w:t>
      </w:r>
      <w:bookmarkEnd w:id="85"/>
    </w:p>
    <w:p>
      <w:pPr>
        <w:pStyle w:val="Bibliography"/>
        <w:spacing w:lineRule="auto" w:line="480"/>
        <w:rPr/>
      </w:pPr>
      <w:bookmarkStart w:id="86" w:name="ref-RN36"/>
      <w:r>
        <w:rPr/>
        <w:t xml:space="preserve">62. </w:t>
        <w:tab/>
        <w:t xml:space="preserve">Doshi B, Athans SR, Woloszynska A. Biological differences underlying sex and gender disparities in bladder cancer: Current synopsis and future directions. Oncogenesis [Internet]. 2023;12(1):44. Available from: </w:t>
      </w:r>
      <w:hyperlink r:id="rId94">
        <w:r>
          <w:rPr>
            <w:rStyle w:val="Hyperlink"/>
          </w:rPr>
          <w:t>https://doi.org/10.1038/s41389-023-00489-9</w:t>
        </w:r>
      </w:hyperlink>
      <w:bookmarkEnd w:id="86"/>
    </w:p>
    <w:p>
      <w:pPr>
        <w:pStyle w:val="Bibliography"/>
        <w:spacing w:lineRule="auto" w:line="480"/>
        <w:rPr/>
      </w:pPr>
      <w:bookmarkStart w:id="87" w:name="ref-RN37"/>
      <w:r>
        <w:rPr/>
        <w:t xml:space="preserve">63. </w:t>
        <w:tab/>
        <w:t xml:space="preserve">Mattern HM, Lloyd PG, Sturek M, Hardin CD. </w:t>
      </w:r>
      <w:hyperlink r:id="rId95">
        <w:r>
          <w:rPr>
            <w:rStyle w:val="Hyperlink"/>
          </w:rPr>
          <w:t>Gender and genetic differences in bladder smooth muscle PPAR mRNA in a porcine model of the metabolic syndrome</w:t>
        </w:r>
      </w:hyperlink>
      <w:r>
        <w:rPr/>
        <w:t xml:space="preserve">. Mol Cell Biochem. 2007;302(1-2):43–9. </w:t>
      </w:r>
      <w:bookmarkEnd w:id="87"/>
    </w:p>
    <w:p>
      <w:pPr>
        <w:pStyle w:val="Bibliography"/>
        <w:spacing w:lineRule="auto" w:line="480"/>
        <w:rPr/>
      </w:pPr>
      <w:bookmarkStart w:id="88" w:name="ref-RN38"/>
      <w:r>
        <w:rPr/>
        <w:t xml:space="preserve">64. </w:t>
        <w:tab/>
        <w:t xml:space="preserve">Zhang Z, Xu H, Ji J, Shi X, Lyu J, Zhu Y, et al. </w:t>
      </w:r>
      <w:hyperlink r:id="rId96">
        <w:r>
          <w:rPr>
            <w:rStyle w:val="Hyperlink"/>
          </w:rPr>
          <w:t>Heterogeneity of PTEN and PPAR-γ in cancer and their prognostic application to bladder cancer</w:t>
        </w:r>
      </w:hyperlink>
      <w:r>
        <w:rPr/>
        <w:t xml:space="preserve">. Exp Ther Med. 2019;18(4):3177–83. </w:t>
      </w:r>
      <w:bookmarkEnd w:id="88"/>
    </w:p>
    <w:p>
      <w:pPr>
        <w:pStyle w:val="Bibliography"/>
        <w:spacing w:lineRule="auto" w:line="480"/>
        <w:rPr/>
      </w:pPr>
      <w:bookmarkStart w:id="89" w:name="ref-RN8"/>
      <w:r>
        <w:rPr/>
        <w:t xml:space="preserve">65. </w:t>
        <w:tab/>
        <w:t xml:space="preserve">Freedman ND, Silverman DT, Hollenbeck AR, Schatzkin A, Abnet CC. </w:t>
      </w:r>
      <w:hyperlink r:id="rId97">
        <w:r>
          <w:rPr>
            <w:rStyle w:val="Hyperlink"/>
          </w:rPr>
          <w:t>Association between smoking and risk of bladder cancer among men and women</w:t>
        </w:r>
      </w:hyperlink>
      <w:r>
        <w:rPr/>
        <w:t xml:space="preserve">. Jama. 2011;306(7):737–45. </w:t>
      </w:r>
      <w:bookmarkEnd w:id="89"/>
    </w:p>
    <w:p>
      <w:pPr>
        <w:pStyle w:val="Bibliography"/>
        <w:spacing w:lineRule="auto" w:line="480"/>
        <w:rPr/>
      </w:pPr>
      <w:bookmarkStart w:id="90" w:name="ref-RN12"/>
      <w:r>
        <w:rPr/>
        <w:t xml:space="preserve">66. </w:t>
        <w:tab/>
        <w:t xml:space="preserve">Baris D, Waddell R, Beane Freeman LE, Schwenn M, Colt JS, Ayotte JD, et al. </w:t>
      </w:r>
      <w:hyperlink r:id="rId98">
        <w:r>
          <w:rPr>
            <w:rStyle w:val="Hyperlink"/>
          </w:rPr>
          <w:t>Elevated bladder cancer in northern new england: The role of drinking water and arsenic</w:t>
        </w:r>
      </w:hyperlink>
      <w:r>
        <w:rPr/>
        <w:t xml:space="preserve">. J Natl Cancer Inst. 2016;108(9). </w:t>
      </w:r>
      <w:bookmarkEnd w:id="90"/>
    </w:p>
    <w:p>
      <w:pPr>
        <w:pStyle w:val="Bibliography"/>
        <w:spacing w:lineRule="auto" w:line="480"/>
        <w:rPr/>
      </w:pPr>
      <w:bookmarkStart w:id="91" w:name="ref-RN13"/>
      <w:r>
        <w:rPr/>
        <w:t xml:space="preserve">67. </w:t>
        <w:tab/>
        <w:t xml:space="preserve">Beane Freeman LE, Cantor KP, Baris D, Nuckols JR, Johnson A, Colt JS, et al. </w:t>
      </w:r>
      <w:hyperlink r:id="rId99">
        <w:r>
          <w:rPr>
            <w:rStyle w:val="Hyperlink"/>
          </w:rPr>
          <w:t>Bladder cancer and water disinfection by-product exposures through multiple routes: A population-based case-control study (new england, USA)</w:t>
        </w:r>
      </w:hyperlink>
      <w:r>
        <w:rPr/>
        <w:t xml:space="preserve">. Environ Health Perspect. 2017;125(6):067010. </w:t>
      </w:r>
      <w:bookmarkEnd w:id="91"/>
    </w:p>
    <w:p>
      <w:pPr>
        <w:pStyle w:val="Bibliography"/>
        <w:spacing w:lineRule="auto" w:line="480"/>
        <w:rPr/>
      </w:pPr>
      <w:bookmarkStart w:id="92" w:name="ref-RN39"/>
      <w:r>
        <w:rPr/>
        <w:t xml:space="preserve">68. </w:t>
        <w:tab/>
        <w:t xml:space="preserve">Stanton BA, Caldwell K, Congdon CB, Disney J, Donahue M, Ferguson E, et al. </w:t>
      </w:r>
      <w:hyperlink r:id="rId100">
        <w:r>
          <w:rPr>
            <w:rStyle w:val="Hyperlink"/>
          </w:rPr>
          <w:t>MDI biological laboratory arsenic summit: Approaches to limiting human exposure to arsenic</w:t>
        </w:r>
      </w:hyperlink>
      <w:r>
        <w:rPr/>
        <w:t xml:space="preserve">. Curr Environ Health Rep. 2015;2(3):329–37. </w:t>
      </w:r>
      <w:bookmarkEnd w:id="92"/>
    </w:p>
    <w:p>
      <w:pPr>
        <w:pStyle w:val="Bibliography"/>
        <w:spacing w:lineRule="auto" w:line="480"/>
        <w:rPr/>
      </w:pPr>
      <w:bookmarkStart w:id="93" w:name="ref-RN40"/>
      <w:r>
        <w:rPr/>
        <w:t xml:space="preserve">69. </w:t>
        <w:tab/>
        <w:t xml:space="preserve">Yang Q, Flanagan SV, Chillrud S, Ross J, Zeng W, Culbertson C, et al. </w:t>
      </w:r>
      <w:hyperlink r:id="rId101">
        <w:r>
          <w:rPr>
            <w:rStyle w:val="Hyperlink"/>
          </w:rPr>
          <w:t>Reduction in drinking water arsenic exposure and health risk through arsenic treatment among private well households in maine and new jersey, USA</w:t>
        </w:r>
      </w:hyperlink>
      <w:r>
        <w:rPr/>
        <w:t xml:space="preserve">. Sci Total Environ. 2020;738:139683. </w:t>
      </w:r>
      <w:bookmarkEnd w:id="93"/>
    </w:p>
    <w:p>
      <w:pPr>
        <w:pStyle w:val="Bibliography"/>
        <w:spacing w:lineRule="auto" w:line="480"/>
        <w:rPr/>
      </w:pPr>
      <w:bookmarkStart w:id="94" w:name="ref-RN41"/>
      <w:r>
        <w:rPr/>
        <w:t xml:space="preserve">70. </w:t>
        <w:tab/>
        <w:t xml:space="preserve">DES N. Review of the drinking water maximum contaminant level (MCL) and ambient groundwater quality standard (AGQS) for arsenic. New Hamps Dep Environ Serv. 2018;1–71. </w:t>
      </w:r>
      <w:bookmarkEnd w:id="94"/>
    </w:p>
    <w:p>
      <w:pPr>
        <w:pStyle w:val="Bibliography"/>
        <w:spacing w:lineRule="auto" w:line="480"/>
        <w:rPr/>
      </w:pPr>
      <w:bookmarkStart w:id="95" w:name="ref-RN42"/>
      <w:r>
        <w:rPr/>
        <w:t xml:space="preserve">71. </w:t>
        <w:tab/>
        <w:t xml:space="preserve">Javeid J, Akhtar M, Ahmed L, Hassan W, Ikram M, Iqbal R, et al. </w:t>
      </w:r>
      <w:hyperlink r:id="rId102">
        <w:r>
          <w:rPr>
            <w:rStyle w:val="Hyperlink"/>
          </w:rPr>
          <w:t>Bladder cancer mortality among smokers: Trends and disparities in u.s. Adults (1999–2023).</w:t>
        </w:r>
      </w:hyperlink>
      <w:r>
        <w:rPr/>
        <w:t xml:space="preserve"> Journal of Clinical Oncology. 2025;43. </w:t>
      </w:r>
      <w:bookmarkEnd w:id="95"/>
    </w:p>
    <w:p>
      <w:pPr>
        <w:pStyle w:val="Bibliography"/>
        <w:spacing w:lineRule="auto" w:line="480"/>
        <w:rPr/>
      </w:pPr>
      <w:bookmarkStart w:id="96" w:name="ref-RN43"/>
      <w:r>
        <w:rPr/>
        <w:t xml:space="preserve">72. </w:t>
        <w:tab/>
        <w:t xml:space="preserve">Lortet-Tieulent J, Goding Sauer A, Siegel RL, Miller KD, Islami F, Fedewa SA, et al. </w:t>
      </w:r>
      <w:hyperlink r:id="rId103">
        <w:r>
          <w:rPr>
            <w:rStyle w:val="Hyperlink"/>
          </w:rPr>
          <w:t>State-level cancer mortality attributable to cigarette smoking in the united states</w:t>
        </w:r>
      </w:hyperlink>
      <w:r>
        <w:rPr/>
        <w:t xml:space="preserve">. JAMA Intern Med. 2016;176(12):1792–8. </w:t>
      </w:r>
      <w:bookmarkEnd w:id="96"/>
    </w:p>
    <w:p>
      <w:pPr>
        <w:pStyle w:val="Bibliography"/>
        <w:spacing w:lineRule="auto" w:line="480"/>
        <w:rPr/>
      </w:pPr>
      <w:bookmarkStart w:id="97" w:name="ref-RN44"/>
      <w:r>
        <w:rPr/>
        <w:t xml:space="preserve">73. </w:t>
        <w:tab/>
        <w:t xml:space="preserve">Deuker M, Stolzenbach LF, Collà Ruvolo C, Nocera L, Tian Z, Roos FC, et al. </w:t>
      </w:r>
      <w:hyperlink r:id="rId104">
        <w:r>
          <w:rPr>
            <w:rStyle w:val="Hyperlink"/>
          </w:rPr>
          <w:t>Bladder cancer stage and mortality: Urban vs. Rural residency</w:t>
        </w:r>
      </w:hyperlink>
      <w:r>
        <w:rPr/>
        <w:t xml:space="preserve">. Cancer Causes Control. 2021;32(2):139–45. </w:t>
      </w:r>
      <w:bookmarkEnd w:id="97"/>
    </w:p>
    <w:p>
      <w:pPr>
        <w:pStyle w:val="Bibliography"/>
        <w:spacing w:lineRule="auto" w:line="480"/>
        <w:rPr/>
      </w:pPr>
      <w:bookmarkStart w:id="98" w:name="ref-RN45"/>
      <w:r>
        <w:rPr/>
        <w:t xml:space="preserve">74. </w:t>
        <w:tab/>
        <w:t xml:space="preserve">Dursun F, Elshabrawy A, Wang H, Kaushik D, Liss MA, Svatek RS, et al. </w:t>
      </w:r>
      <w:hyperlink r:id="rId105">
        <w:r>
          <w:rPr>
            <w:rStyle w:val="Hyperlink"/>
          </w:rPr>
          <w:t>Impact of rural residence on the presentation, management and survival of patients with non-metastatic muscle-invasive bladder carcinoma</w:t>
        </w:r>
      </w:hyperlink>
      <w:r>
        <w:rPr/>
        <w:t xml:space="preserve">. Investig Clin Urol. 2023;64(6):561–71. </w:t>
      </w:r>
      <w:bookmarkEnd w:id="98"/>
    </w:p>
    <w:p>
      <w:pPr>
        <w:pStyle w:val="Bibliography"/>
        <w:spacing w:lineRule="auto" w:line="480"/>
        <w:rPr/>
      </w:pPr>
      <w:bookmarkStart w:id="99" w:name="ref-RN46"/>
      <w:r>
        <w:rPr/>
        <w:t xml:space="preserve">75. </w:t>
        <w:tab/>
        <w:t xml:space="preserve">Ryan S, Serrell EC, Karabon P, Mills G, Hansen M, Hayn M, et al. </w:t>
      </w:r>
      <w:hyperlink r:id="rId106">
        <w:r>
          <w:rPr>
            <w:rStyle w:val="Hyperlink"/>
          </w:rPr>
          <w:t>The association between mortality and distance to treatment facility in patients with muscle invasive bladder cancer</w:t>
        </w:r>
      </w:hyperlink>
      <w:r>
        <w:rPr/>
        <w:t xml:space="preserve">. J Urol. 2018;199(2):424–9. </w:t>
      </w:r>
      <w:bookmarkEnd w:id="99"/>
    </w:p>
    <w:p>
      <w:pPr>
        <w:pStyle w:val="Bibliography"/>
        <w:spacing w:lineRule="auto" w:line="480"/>
        <w:rPr/>
      </w:pPr>
      <w:bookmarkStart w:id="100" w:name="ref-RN47"/>
      <w:r>
        <w:rPr/>
        <w:t xml:space="preserve">76. </w:t>
        <w:tab/>
        <w:t xml:space="preserve">Hung P, Deng S, Zahnd WE, Adams SA, Olatosi B, Crouch EL, et al. </w:t>
      </w:r>
      <w:hyperlink r:id="rId107">
        <w:r>
          <w:rPr>
            <w:rStyle w:val="Hyperlink"/>
          </w:rPr>
          <w:t>Geographic disparities in residential proximity to colorectal and cervical cancer care providers</w:t>
        </w:r>
      </w:hyperlink>
      <w:r>
        <w:rPr/>
        <w:t xml:space="preserve">. Cancer. 2020;126(5):1068–76. </w:t>
      </w:r>
      <w:bookmarkEnd w:id="100"/>
    </w:p>
    <w:p>
      <w:pPr>
        <w:pStyle w:val="Bibliography"/>
        <w:spacing w:lineRule="auto" w:line="480"/>
        <w:rPr/>
      </w:pPr>
      <w:bookmarkStart w:id="101" w:name="ref-RN48"/>
      <w:r>
        <w:rPr/>
        <w:t xml:space="preserve">77. </w:t>
        <w:tab/>
        <w:t xml:space="preserve">Terlizzi EP, Cohen RA. Geographic variation in health insurance coverage:united states, 2022. Natl Health Stat Report. 2023;(194):1–15. </w:t>
      </w:r>
      <w:bookmarkEnd w:id="101"/>
    </w:p>
    <w:p>
      <w:pPr>
        <w:pStyle w:val="Bibliography"/>
        <w:spacing w:lineRule="auto" w:line="480"/>
        <w:rPr/>
      </w:pPr>
      <w:bookmarkStart w:id="102" w:name="ref-RN49"/>
      <w:r>
        <w:rPr/>
        <w:t xml:space="preserve">78. </w:t>
        <w:tab/>
        <w:t xml:space="preserve">Wang Y, Chang Q, Li Y. </w:t>
      </w:r>
      <w:hyperlink r:id="rId108">
        <w:r>
          <w:rPr>
            <w:rStyle w:val="Hyperlink"/>
          </w:rPr>
          <w:t>Racial differences in urinary bladder cancer in the united states</w:t>
        </w:r>
      </w:hyperlink>
      <w:r>
        <w:rPr/>
        <w:t xml:space="preserve">. Sci Rep. 2018;8(1):12521. </w:t>
      </w:r>
      <w:bookmarkEnd w:id="102"/>
    </w:p>
    <w:p>
      <w:pPr>
        <w:pStyle w:val="Bibliography"/>
        <w:spacing w:lineRule="auto" w:line="480"/>
        <w:rPr/>
      </w:pPr>
      <w:bookmarkStart w:id="103" w:name="ref-RN50"/>
      <w:r>
        <w:rPr/>
        <w:t xml:space="preserve">79. </w:t>
        <w:tab/>
        <w:t xml:space="preserve">Health. C for DC, Chronic Disease Prevention PreventionNC for, Population HPromotionD of. BRFSS prevalence &amp; trends data [Internet]. Vol. 2025. Centers for Disease Control; Prevention; 2025. Available from: </w:t>
      </w:r>
      <w:hyperlink r:id="rId109">
        <w:r>
          <w:rPr>
            <w:rStyle w:val="Hyperlink"/>
          </w:rPr>
          <w:t>https://www.cdc.gov/brfss/brfssprevalence/</w:t>
        </w:r>
      </w:hyperlink>
      <w:bookmarkEnd w:id="103"/>
    </w:p>
    <w:p>
      <w:pPr>
        <w:pStyle w:val="Bibliography"/>
        <w:spacing w:lineRule="auto" w:line="480"/>
        <w:rPr/>
      </w:pPr>
      <w:bookmarkStart w:id="104" w:name="ref-RN51"/>
      <w:r>
        <w:rPr/>
        <w:t xml:space="preserve">80. </w:t>
        <w:tab/>
        <w:t xml:space="preserve">Irvin LH, Johnson L, Yamauchi J, Holmes JR, Ching LK, Starr RR, et al. Insights in public health: Formative factors for a statewide tobacco control advocacy infrastructure: Insights from hawai’i. Hawaii J Med Public Health. 2019;78(2):66–70. </w:t>
      </w:r>
      <w:bookmarkEnd w:id="104"/>
    </w:p>
    <w:p>
      <w:pPr>
        <w:pStyle w:val="Bibliography"/>
        <w:spacing w:lineRule="auto" w:line="480" w:before="0" w:after="200"/>
        <w:jc w:val="both"/>
        <w:rPr/>
      </w:pPr>
      <w:bookmarkStart w:id="105" w:name="ref-RN52"/>
      <w:bookmarkStart w:id="106" w:name="refs"/>
      <w:bookmarkStart w:id="107" w:name="references"/>
      <w:r>
        <w:rPr/>
        <w:t xml:space="preserve">81. </w:t>
        <w:tab/>
        <w:t xml:space="preserve">Yegian JM, Wang G. Affordability in a mandated environment. Am J Manag Care. 2013;19(6):e233–7. </w:t>
      </w:r>
      <w:bookmarkEnd w:id="105"/>
      <w:bookmarkEnd w:id="106"/>
      <w:bookmarkEnd w:id="107"/>
    </w:p>
    <w:sectPr>
      <w:type w:val="nextPage"/>
      <w:pgSz w:w="12240" w:h="15840"/>
      <w:pgMar w:left="1080" w:right="1080" w:gutter="0" w:header="0" w:top="1440" w:footer="0" w:bottom="1440"/>
      <w:lnNumType w:countBy="1" w:restart="continuous" w:distance="283"/>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9103ad"/>
    <w:pPr>
      <w:widowControl/>
      <w:suppressAutoHyphens w:val="true"/>
      <w:bidi w:val="0"/>
      <w:spacing w:before="0" w:after="200"/>
      <w:jc w:val="left"/>
    </w:pPr>
    <w:rPr>
      <w:rFonts w:ascii="Calibri" w:hAnsi="Calibri" w:eastAsia="Aptos" w:cs="" w:cstheme="minorBidi" w:eastAsiaTheme="minorHAnsi"/>
      <w:color w:val="auto"/>
      <w:kern w:val="0"/>
      <w:sz w:val="28"/>
      <w:szCs w:val="24"/>
      <w:lang w:val="en-US" w:eastAsia="en-US" w:bidi="ar-SA"/>
    </w:rPr>
  </w:style>
  <w:style w:type="paragraph" w:styleId="Heading1">
    <w:name w:val="heading 1"/>
    <w:basedOn w:val="Normal"/>
    <w:next w:val="BodyText"/>
    <w:link w:val="Heading1Char"/>
    <w:uiPriority w:val="9"/>
    <w:qFormat/>
    <w:rsid w:val="00d6760e"/>
    <w:pPr>
      <w:keepNext w:val="true"/>
      <w:keepLines/>
      <w:spacing w:before="360" w:after="80"/>
      <w:outlineLvl w:val="0"/>
    </w:pPr>
    <w:rPr>
      <w:rFonts w:eastAsia="" w:cs="" w:cstheme="majorBidi" w:eastAsiaTheme="majorEastAsia"/>
      <w:b/>
      <w:color w:themeColor="text1" w:val="000000"/>
      <w:sz w:val="40"/>
      <w:szCs w:val="40"/>
    </w:rPr>
  </w:style>
  <w:style w:type="paragraph" w:styleId="Heading2">
    <w:name w:val="heading 2"/>
    <w:basedOn w:val="Normal"/>
    <w:next w:val="BodyText"/>
    <w:link w:val="Heading2Char"/>
    <w:uiPriority w:val="9"/>
    <w:unhideWhenUsed/>
    <w:qFormat/>
    <w:rsid w:val="0076149a"/>
    <w:pPr>
      <w:keepNext w:val="true"/>
      <w:keepLines/>
      <w:spacing w:before="160" w:after="80"/>
      <w:outlineLvl w:val="1"/>
    </w:pPr>
    <w:rPr>
      <w:rFonts w:eastAsia="" w:cs="" w:cstheme="majorBidi" w:eastAsiaTheme="majorEastAsia"/>
      <w:b/>
      <w:color w:themeColor="text1" w:val="000000"/>
      <w:sz w:val="36"/>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b/>
      <w:color w:val="000000"/>
      <w:sz w:val="36"/>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7565a7"/>
    <w:rPr>
      <w:rFonts w:ascii="Calibri" w:hAnsi="Calibri" w:eastAsia="" w:cs="" w:cstheme="majorBidi" w:eastAsiaTheme="majorEastAsia"/>
      <w:b/>
      <w:spacing w:val="-10"/>
      <w:kern w:val="2"/>
      <w:sz w:val="40"/>
      <w:szCs w:val="56"/>
    </w:rPr>
  </w:style>
  <w:style w:type="character" w:styleId="SubtitleChar" w:customStyle="1">
    <w:name w:val="Subtitle Char"/>
    <w:basedOn w:val="DefaultParagraphFont"/>
    <w:link w:val="Subtitle"/>
    <w:uiPriority w:val="11"/>
    <w:qFormat/>
    <w:rsid w:val="00d6760e"/>
    <w:rPr>
      <w:rFonts w:ascii="Calibri" w:hAnsi="Calibri" w:eastAsia="" w:cs="" w:cstheme="majorBidi" w:eastAsiaTheme="majorEastAsia"/>
      <w:color w:themeColor="text1" w:val="000000"/>
      <w:spacing w:val="15"/>
      <w:sz w:val="28"/>
      <w:szCs w:val="28"/>
    </w:rPr>
  </w:style>
  <w:style w:type="character" w:styleId="Heading1Char" w:customStyle="1">
    <w:name w:val="Heading 1 Char"/>
    <w:basedOn w:val="DefaultParagraphFont"/>
    <w:link w:val="Heading1"/>
    <w:uiPriority w:val="9"/>
    <w:qFormat/>
    <w:rsid w:val="00d6760e"/>
    <w:rPr>
      <w:rFonts w:ascii="Calibri" w:hAnsi="Calibri" w:eastAsia="" w:cs="" w:cstheme="majorBidi" w:eastAsiaTheme="majorEastAsia"/>
      <w:b/>
      <w:color w:themeColor="text1" w:val="000000"/>
      <w:sz w:val="40"/>
      <w:szCs w:val="40"/>
    </w:rPr>
  </w:style>
  <w:style w:type="character" w:styleId="Heading2Char" w:customStyle="1">
    <w:name w:val="Heading 2 Char"/>
    <w:basedOn w:val="DefaultParagraphFont"/>
    <w:link w:val="Heading2"/>
    <w:uiPriority w:val="9"/>
    <w:qFormat/>
    <w:rsid w:val="0076149a"/>
    <w:rPr>
      <w:rFonts w:ascii="Calibri" w:hAnsi="Calibri" w:eastAsia="" w:cs="" w:cstheme="majorBidi" w:eastAsiaTheme="majorEastAsia"/>
      <w:b/>
      <w:color w:themeColor="text1" w:val="000000"/>
      <w:sz w:val="36"/>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sid w:val="00181df9"/>
    <w:rPr>
      <w:rFonts w:ascii="Calibri" w:hAnsi="Calibri"/>
      <w:i/>
      <w:iCs/>
    </w:rPr>
  </w:style>
  <w:style w:type="character" w:styleId="SectionNumber" w:customStyle="1">
    <w:name w:val="Section Number"/>
    <w:basedOn w:val="CaptionChar"/>
    <w:qFormat/>
    <w:rPr/>
  </w:style>
  <w:style w:type="character" w:styleId="FootnoteCharactersuser">
    <w:name w:val="Footnote Characters (user)"/>
    <w:basedOn w:val="CaptionChar"/>
    <w:qFormat/>
    <w:rsid w:val="0076149a"/>
    <w:rPr>
      <w:rFonts w:ascii="Calibri" w:hAnsi="Calibri"/>
      <w:vertAlign w:val="superscript"/>
    </w:rPr>
  </w:style>
  <w:style w:type="character" w:styleId="FootnoteCharacters">
    <w:name w:val="Footnote Characters"/>
    <w:qFormat/>
    <w:rPr>
      <w:rFonts w:ascii="Calibri" w:hAnsi="Calibri"/>
      <w:vertAlign w:val="superscript"/>
    </w:rPr>
  </w:style>
  <w:style w:type="character" w:styleId="FootnoteReference">
    <w:name w:val="footnote reference"/>
    <w:rPr>
      <w:rFonts w:ascii="Calibri" w:hAnsi="Calibri"/>
      <w:vertAlign w:val="superscript"/>
    </w:rPr>
  </w:style>
  <w:style w:type="character" w:styleId="Hyperlink">
    <w:name w:val="Hyperlink"/>
    <w:basedOn w:val="CaptionChar"/>
    <w:rsid w:val="0076149a"/>
    <w:rPr>
      <w:rFonts w:ascii="Calibri" w:hAnsi="Calibri"/>
      <w:color w:themeColor="accent1" w:val="156082"/>
    </w:rPr>
  </w:style>
  <w:style w:type="character" w:styleId="LineNumber">
    <w:name w:val="line number"/>
    <w:basedOn w:val="DefaultParagraphFont"/>
    <w:rsid w:val="008e4780"/>
    <w:rPr/>
  </w:style>
  <w:style w:type="character" w:styleId="KeywordTok" w:customStyle="1">
    <w:name w:val="KeywordTok"/>
    <w:basedOn w:val="VerbatimChar"/>
    <w:qFormat/>
    <w:rPr>
      <w:rFonts w:ascii="Calibri" w:hAnsi="Calibri"/>
      <w:b/>
      <w:i/>
      <w:iCs/>
      <w:color w:val="003B4F"/>
      <w:shd w:fill="F1F3F5" w:val="clear"/>
    </w:rPr>
  </w:style>
  <w:style w:type="character" w:styleId="DataTypeTok" w:customStyle="1">
    <w:name w:val="DataTypeTok"/>
    <w:basedOn w:val="VerbatimChar"/>
    <w:qFormat/>
    <w:rPr>
      <w:rFonts w:ascii="Calibri" w:hAnsi="Calibri"/>
      <w:i/>
      <w:iCs/>
      <w:color w:val="AD0000"/>
      <w:shd w:fill="F1F3F5" w:val="clear"/>
    </w:rPr>
  </w:style>
  <w:style w:type="character" w:styleId="DecValTok" w:customStyle="1">
    <w:name w:val="DecValTok"/>
    <w:basedOn w:val="VerbatimChar"/>
    <w:qFormat/>
    <w:rPr>
      <w:rFonts w:ascii="Calibri" w:hAnsi="Calibri"/>
      <w:i/>
      <w:iCs/>
      <w:color w:val="AD0000"/>
      <w:shd w:fill="F1F3F5" w:val="clear"/>
    </w:rPr>
  </w:style>
  <w:style w:type="character" w:styleId="BaseNTok" w:customStyle="1">
    <w:name w:val="BaseNTok"/>
    <w:basedOn w:val="VerbatimChar"/>
    <w:qFormat/>
    <w:rPr>
      <w:rFonts w:ascii="Calibri" w:hAnsi="Calibri"/>
      <w:i/>
      <w:iCs/>
      <w:color w:val="AD0000"/>
      <w:shd w:fill="F1F3F5" w:val="clear"/>
    </w:rPr>
  </w:style>
  <w:style w:type="character" w:styleId="FloatTok" w:customStyle="1">
    <w:name w:val="FloatTok"/>
    <w:basedOn w:val="VerbatimChar"/>
    <w:qFormat/>
    <w:rPr>
      <w:rFonts w:ascii="Calibri" w:hAnsi="Calibri"/>
      <w:i/>
      <w:iCs/>
      <w:color w:val="AD0000"/>
      <w:shd w:fill="F1F3F5" w:val="clear"/>
    </w:rPr>
  </w:style>
  <w:style w:type="character" w:styleId="ConstantTok" w:customStyle="1">
    <w:name w:val="ConstantTok"/>
    <w:basedOn w:val="VerbatimChar"/>
    <w:qFormat/>
    <w:rPr>
      <w:rFonts w:ascii="Calibri" w:hAnsi="Calibri"/>
      <w:i/>
      <w:iCs/>
      <w:color w:val="8F5902"/>
      <w:shd w:fill="F1F3F5" w:val="clear"/>
    </w:rPr>
  </w:style>
  <w:style w:type="character" w:styleId="CharTok" w:customStyle="1">
    <w:name w:val="CharTok"/>
    <w:basedOn w:val="VerbatimChar"/>
    <w:qFormat/>
    <w:rPr>
      <w:rFonts w:ascii="Calibri" w:hAnsi="Calibri"/>
      <w:i/>
      <w:iCs/>
      <w:color w:val="20794D"/>
      <w:shd w:fill="F1F3F5" w:val="clear"/>
    </w:rPr>
  </w:style>
  <w:style w:type="character" w:styleId="SpecialCharTok" w:customStyle="1">
    <w:name w:val="SpecialCharTok"/>
    <w:basedOn w:val="VerbatimChar"/>
    <w:qFormat/>
    <w:rPr>
      <w:rFonts w:ascii="Calibri" w:hAnsi="Calibri"/>
      <w:i/>
      <w:iCs/>
      <w:color w:val="5E5E5E"/>
      <w:shd w:fill="F1F3F5" w:val="clear"/>
    </w:rPr>
  </w:style>
  <w:style w:type="character" w:styleId="StringTok" w:customStyle="1">
    <w:name w:val="StringTok"/>
    <w:basedOn w:val="VerbatimChar"/>
    <w:qFormat/>
    <w:rPr>
      <w:rFonts w:ascii="Calibri" w:hAnsi="Calibri"/>
      <w:i/>
      <w:iCs/>
      <w:color w:val="20794D"/>
      <w:shd w:fill="F1F3F5" w:val="clear"/>
    </w:rPr>
  </w:style>
  <w:style w:type="character" w:styleId="VerbatimStringTok" w:customStyle="1">
    <w:name w:val="VerbatimStringTok"/>
    <w:basedOn w:val="VerbatimChar"/>
    <w:qFormat/>
    <w:rPr>
      <w:rFonts w:ascii="Calibri" w:hAnsi="Calibri"/>
      <w:i/>
      <w:iCs/>
      <w:color w:val="20794D"/>
      <w:shd w:fill="F1F3F5" w:val="clear"/>
    </w:rPr>
  </w:style>
  <w:style w:type="character" w:styleId="SpecialStringTok" w:customStyle="1">
    <w:name w:val="SpecialStringTok"/>
    <w:basedOn w:val="VerbatimChar"/>
    <w:qFormat/>
    <w:rPr>
      <w:rFonts w:ascii="Calibri" w:hAnsi="Calibri"/>
      <w:i/>
      <w:iCs/>
      <w:color w:val="20794D"/>
      <w:shd w:fill="F1F3F5" w:val="clear"/>
    </w:rPr>
  </w:style>
  <w:style w:type="character" w:styleId="ImportTok" w:customStyle="1">
    <w:name w:val="ImportTok"/>
    <w:basedOn w:val="VerbatimChar"/>
    <w:qFormat/>
    <w:rPr>
      <w:rFonts w:ascii="Calibri" w:hAnsi="Calibri"/>
      <w:i/>
      <w:iCs/>
      <w:color w:val="00769E"/>
      <w:shd w:fill="F1F3F5" w:val="clear"/>
    </w:rPr>
  </w:style>
  <w:style w:type="character" w:styleId="CommentTok" w:customStyle="1">
    <w:name w:val="CommentTok"/>
    <w:basedOn w:val="VerbatimChar"/>
    <w:qFormat/>
    <w:rPr>
      <w:rFonts w:ascii="Calibri" w:hAnsi="Calibri"/>
      <w:i/>
      <w:iCs/>
      <w:color w:val="5E5E5E"/>
      <w:shd w:fill="F1F3F5" w:val="clear"/>
    </w:rPr>
  </w:style>
  <w:style w:type="character" w:styleId="DocumentationTok" w:customStyle="1">
    <w:name w:val="DocumentationTok"/>
    <w:basedOn w:val="VerbatimChar"/>
    <w:qFormat/>
    <w:rPr>
      <w:rFonts w:ascii="Calibri" w:hAnsi="Calibri"/>
      <w:i w:val="false"/>
      <w:iCs/>
      <w:color w:val="5E5E5E"/>
      <w:shd w:fill="F1F3F5" w:val="clear"/>
    </w:rPr>
  </w:style>
  <w:style w:type="character" w:styleId="AnnotationTok" w:customStyle="1">
    <w:name w:val="AnnotationTok"/>
    <w:basedOn w:val="VerbatimChar"/>
    <w:qFormat/>
    <w:rPr>
      <w:rFonts w:ascii="Calibri" w:hAnsi="Calibri"/>
      <w:i/>
      <w:iCs/>
      <w:color w:val="5E5E5E"/>
      <w:shd w:fill="F1F3F5" w:val="clear"/>
    </w:rPr>
  </w:style>
  <w:style w:type="character" w:styleId="CommentVarTok" w:customStyle="1">
    <w:name w:val="CommentVarTok"/>
    <w:basedOn w:val="VerbatimChar"/>
    <w:qFormat/>
    <w:rPr>
      <w:rFonts w:ascii="Calibri" w:hAnsi="Calibri"/>
      <w:i w:val="false"/>
      <w:iCs/>
      <w:color w:val="5E5E5E"/>
      <w:shd w:fill="F1F3F5" w:val="clear"/>
    </w:rPr>
  </w:style>
  <w:style w:type="character" w:styleId="OtherTok" w:customStyle="1">
    <w:name w:val="OtherTok"/>
    <w:basedOn w:val="VerbatimChar"/>
    <w:qFormat/>
    <w:rPr>
      <w:rFonts w:ascii="Calibri" w:hAnsi="Calibri"/>
      <w:i/>
      <w:iCs/>
      <w:color w:val="003B4F"/>
      <w:shd w:fill="F1F3F5" w:val="clear"/>
    </w:rPr>
  </w:style>
  <w:style w:type="character" w:styleId="FunctionTok" w:customStyle="1">
    <w:name w:val="FunctionTok"/>
    <w:basedOn w:val="VerbatimChar"/>
    <w:qFormat/>
    <w:rPr>
      <w:rFonts w:ascii="Calibri" w:hAnsi="Calibri"/>
      <w:i/>
      <w:iCs/>
      <w:color w:val="4758AB"/>
      <w:shd w:fill="F1F3F5" w:val="clear"/>
    </w:rPr>
  </w:style>
  <w:style w:type="character" w:styleId="VariableTok" w:customStyle="1">
    <w:name w:val="VariableTok"/>
    <w:basedOn w:val="VerbatimChar"/>
    <w:qFormat/>
    <w:rPr>
      <w:rFonts w:ascii="Calibri" w:hAnsi="Calibri"/>
      <w:i/>
      <w:iCs/>
      <w:color w:val="111111"/>
      <w:shd w:fill="F1F3F5" w:val="clear"/>
    </w:rPr>
  </w:style>
  <w:style w:type="character" w:styleId="ControlFlowTok" w:customStyle="1">
    <w:name w:val="ControlFlowTok"/>
    <w:basedOn w:val="VerbatimChar"/>
    <w:qFormat/>
    <w:rPr>
      <w:rFonts w:ascii="Calibri" w:hAnsi="Calibri"/>
      <w:b/>
      <w:i/>
      <w:iCs/>
      <w:color w:val="003B4F"/>
      <w:shd w:fill="F1F3F5" w:val="clear"/>
    </w:rPr>
  </w:style>
  <w:style w:type="character" w:styleId="OperatorTok" w:customStyle="1">
    <w:name w:val="OperatorTok"/>
    <w:basedOn w:val="VerbatimChar"/>
    <w:qFormat/>
    <w:rPr>
      <w:rFonts w:ascii="Calibri" w:hAnsi="Calibri"/>
      <w:i/>
      <w:iCs/>
      <w:color w:val="5E5E5E"/>
      <w:shd w:fill="F1F3F5" w:val="clear"/>
    </w:rPr>
  </w:style>
  <w:style w:type="character" w:styleId="BuiltInTok" w:customStyle="1">
    <w:name w:val="BuiltInTok"/>
    <w:basedOn w:val="VerbatimChar"/>
    <w:qFormat/>
    <w:rPr>
      <w:rFonts w:ascii="Calibri" w:hAnsi="Calibri"/>
      <w:i/>
      <w:iCs/>
      <w:color w:val="003B4F"/>
      <w:shd w:fill="F1F3F5" w:val="clear"/>
    </w:rPr>
  </w:style>
  <w:style w:type="character" w:styleId="ExtensionTok" w:customStyle="1">
    <w:name w:val="ExtensionTok"/>
    <w:basedOn w:val="VerbatimChar"/>
    <w:qFormat/>
    <w:rPr>
      <w:rFonts w:ascii="Calibri" w:hAnsi="Calibri"/>
      <w:i/>
      <w:iCs/>
      <w:color w:val="003B4F"/>
      <w:shd w:fill="F1F3F5" w:val="clear"/>
    </w:rPr>
  </w:style>
  <w:style w:type="character" w:styleId="PreprocessorTok" w:customStyle="1">
    <w:name w:val="PreprocessorTok"/>
    <w:basedOn w:val="VerbatimChar"/>
    <w:qFormat/>
    <w:rPr>
      <w:rFonts w:ascii="Calibri" w:hAnsi="Calibri"/>
      <w:i/>
      <w:iCs/>
      <w:color w:val="AD0000"/>
      <w:shd w:fill="F1F3F5" w:val="clear"/>
    </w:rPr>
  </w:style>
  <w:style w:type="character" w:styleId="AttributeTok" w:customStyle="1">
    <w:name w:val="AttributeTok"/>
    <w:basedOn w:val="VerbatimChar"/>
    <w:qFormat/>
    <w:rPr>
      <w:rFonts w:ascii="Calibri" w:hAnsi="Calibri"/>
      <w:i/>
      <w:iCs/>
      <w:color w:val="657422"/>
      <w:shd w:fill="F1F3F5" w:val="clear"/>
    </w:rPr>
  </w:style>
  <w:style w:type="character" w:styleId="RegionMarkerTok" w:customStyle="1">
    <w:name w:val="RegionMarkerTok"/>
    <w:basedOn w:val="VerbatimChar"/>
    <w:qFormat/>
    <w:rPr>
      <w:rFonts w:ascii="Calibri" w:hAnsi="Calibri"/>
      <w:i/>
      <w:iCs/>
      <w:color w:val="003B4F"/>
      <w:shd w:fill="F1F3F5" w:val="clear"/>
    </w:rPr>
  </w:style>
  <w:style w:type="character" w:styleId="InformationTok" w:customStyle="1">
    <w:name w:val="InformationTok"/>
    <w:basedOn w:val="VerbatimChar"/>
    <w:qFormat/>
    <w:rPr>
      <w:rFonts w:ascii="Calibri" w:hAnsi="Calibri"/>
      <w:i/>
      <w:iCs/>
      <w:color w:val="5E5E5E"/>
      <w:shd w:fill="F1F3F5" w:val="clear"/>
    </w:rPr>
  </w:style>
  <w:style w:type="character" w:styleId="WarningTok" w:customStyle="1">
    <w:name w:val="WarningTok"/>
    <w:basedOn w:val="VerbatimChar"/>
    <w:qFormat/>
    <w:rPr>
      <w:rFonts w:ascii="Calibri" w:hAnsi="Calibri"/>
      <w:i w:val="false"/>
      <w:iCs/>
      <w:color w:val="5E5E5E"/>
      <w:shd w:fill="F1F3F5" w:val="clear"/>
    </w:rPr>
  </w:style>
  <w:style w:type="character" w:styleId="AlertTok" w:customStyle="1">
    <w:name w:val="AlertTok"/>
    <w:basedOn w:val="VerbatimChar"/>
    <w:qFormat/>
    <w:rPr>
      <w:rFonts w:ascii="Calibri" w:hAnsi="Calibri"/>
      <w:i/>
      <w:iCs/>
      <w:color w:val="AD0000"/>
      <w:shd w:fill="F1F3F5" w:val="clear"/>
    </w:rPr>
  </w:style>
  <w:style w:type="character" w:styleId="ErrorTok" w:customStyle="1">
    <w:name w:val="ErrorTok"/>
    <w:basedOn w:val="VerbatimChar"/>
    <w:qFormat/>
    <w:rPr>
      <w:rFonts w:ascii="Calibri" w:hAnsi="Calibri"/>
      <w:i/>
      <w:iCs/>
      <w:color w:val="AD0000"/>
      <w:shd w:fill="F1F3F5" w:val="clear"/>
    </w:rPr>
  </w:style>
  <w:style w:type="character" w:styleId="NormalTok" w:customStyle="1">
    <w:name w:val="NormalTok"/>
    <w:basedOn w:val="VerbatimChar"/>
    <w:qFormat/>
    <w:rPr>
      <w:rFonts w:ascii="Calibri" w:hAnsi="Calibri"/>
      <w:i/>
      <w:iCs/>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Arabic"/>
      <w:sz w:val="28"/>
      <w:szCs w:val="28"/>
    </w:rPr>
  </w:style>
  <w:style w:type="paragraph" w:styleId="BodyText">
    <w:name w:val="Body Text"/>
    <w:basedOn w:val="Normal"/>
    <w:qFormat/>
    <w:rsid w:val="00cf67b6"/>
    <w:pPr>
      <w:spacing w:before="180" w:after="180"/>
      <w:jc w:val="both"/>
    </w:pPr>
    <w:rPr>
      <w:color w:themeColor="text1" w:val="000000"/>
    </w:rPr>
  </w:style>
  <w:style w:type="paragraph" w:styleId="List">
    <w:name w:val="List"/>
    <w:basedOn w:val="BodyText"/>
    <w:pPr/>
    <w:rPr>
      <w:rFonts w:cs="Noto Sans Arabic"/>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Noto Sans Arabic"/>
    </w:rPr>
  </w:style>
  <w:style w:type="paragraph" w:styleId="FirstParagraph" w:customStyle="1">
    <w:name w:val="First Paragraph"/>
    <w:basedOn w:val="BodyText"/>
    <w:next w:val="BodyText"/>
    <w:qFormat/>
    <w:rsid w:val="00917f3d"/>
    <w:pPr>
      <w:spacing w:lineRule="auto" w:line="480"/>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7565a7"/>
    <w:pPr>
      <w:spacing w:lineRule="auto" w:line="480" w:before="0" w:after="80"/>
      <w:contextualSpacing/>
      <w:jc w:val="both"/>
    </w:pPr>
    <w:rPr>
      <w:rFonts w:eastAsia="" w:cs="" w:cstheme="majorBidi" w:eastAsiaTheme="majorEastAsia"/>
      <w:b/>
      <w:spacing w:val="-10"/>
      <w:kern w:val="2"/>
      <w:sz w:val="40"/>
      <w:szCs w:val="56"/>
    </w:rPr>
  </w:style>
  <w:style w:type="paragraph" w:styleId="Subtitle">
    <w:name w:val="Subtitle"/>
    <w:basedOn w:val="Normal"/>
    <w:next w:val="BodyText"/>
    <w:link w:val="SubtitleChar"/>
    <w:uiPriority w:val="11"/>
    <w:qFormat/>
    <w:rsid w:val="00d6760e"/>
    <w:pPr/>
    <w:rPr>
      <w:rFonts w:eastAsia="" w:cs="" w:cstheme="majorBidi" w:eastAsiaTheme="majorEastAsia"/>
      <w:color w:themeColor="text1" w:val="000000"/>
      <w:spacing w:val="15"/>
      <w:szCs w:val="28"/>
    </w:rPr>
  </w:style>
  <w:style w:type="paragraph" w:styleId="Author" w:customStyle="1">
    <w:name w:val="Author"/>
    <w:next w:val="BodyText"/>
    <w:qFormat/>
    <w:rsid w:val="00d6760e"/>
    <w:pPr>
      <w:keepNext w:val="true"/>
      <w:keepLines/>
      <w:widowControl/>
      <w:suppressAutoHyphens w:val="true"/>
      <w:bidi w:val="0"/>
      <w:spacing w:before="0" w:after="200"/>
      <w:jc w:val="left"/>
    </w:pPr>
    <w:rPr>
      <w:rFonts w:ascii="Calibri" w:hAnsi="Calibri" w:eastAsia="Aptos" w:cs="Arial"/>
      <w:color w:themeColor="text1" w:val="000000"/>
      <w:kern w:val="0"/>
      <w:sz w:val="24"/>
      <w:szCs w:val="24"/>
      <w:lang w:val="en-US" w:eastAsia="en-US" w:bidi="ar-SA"/>
    </w:rPr>
  </w:style>
  <w:style w:type="paragraph" w:styleId="Date">
    <w:name w:val="Date"/>
    <w:next w:val="BodyText"/>
    <w:qFormat/>
    <w:rsid w:val="00d6760e"/>
    <w:pPr>
      <w:keepNext w:val="true"/>
      <w:keepLines/>
      <w:widowControl/>
      <w:suppressAutoHyphens w:val="true"/>
      <w:bidi w:val="0"/>
      <w:spacing w:before="0" w:after="200"/>
      <w:jc w:val="left"/>
    </w:pPr>
    <w:rPr>
      <w:rFonts w:ascii="Calibri" w:hAnsi="Calibri" w:eastAsia="Aptos" w:cs="Arial"/>
      <w:color w:themeColor="text1" w:val="000000"/>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rsid w:val="009103ad"/>
    <w:pPr>
      <w:keepNext w:val="true"/>
      <w:keepLines/>
      <w:spacing w:before="100" w:after="300"/>
      <w:jc w:val="both"/>
    </w:pPr>
    <w:rPr>
      <w:szCs w:val="20"/>
    </w:rPr>
  </w:style>
  <w:style w:type="paragraph" w:styleId="Bibliography">
    <w:name w:val="Bibliography"/>
    <w:basedOn w:val="Normal"/>
    <w:qFormat/>
    <w:rsid w:val="00064fff"/>
    <w:pPr>
      <w:jc w:val="both"/>
    </w:pPr>
    <w:rPr>
      <w:color w:themeColor="text1" w:val="000000"/>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rsid w:val="0076149a"/>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rsid w:val="009103ad"/>
    <w:pPr>
      <w:keepNext w:val="true"/>
      <w:keepLines/>
      <w:spacing w:before="0" w:after="0"/>
    </w:pPr>
    <w:rPr>
      <w:b/>
    </w:rPr>
  </w:style>
  <w:style w:type="paragraph" w:styleId="Definition" w:customStyle="1">
    <w:name w:val="Definition"/>
    <w:basedOn w:val="Normal"/>
    <w:qFormat/>
    <w:rsid w:val="009103ad"/>
    <w:pPr/>
    <w:rPr/>
  </w:style>
  <w:style w:type="paragraph" w:styleId="TableCaption" w:customStyle="1">
    <w:name w:val="Table Caption"/>
    <w:basedOn w:val="Caption"/>
    <w:qFormat/>
    <w:rsid w:val="0076149a"/>
    <w:pPr>
      <w:keepNext w:val="true"/>
    </w:pPr>
    <w:rPr/>
  </w:style>
  <w:style w:type="paragraph" w:styleId="ImageCaption" w:customStyle="1">
    <w:name w:val="Image Caption"/>
    <w:basedOn w:val="Caption"/>
    <w:qFormat/>
    <w:rsid w:val="0076149a"/>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asciiTheme="majorHAnsi" w:hAnsiTheme="majorHAnsi"/>
      <w:color w:themeColor="accent1" w:themeShade="bf" w:val="0F4761"/>
    </w:rPr>
  </w:style>
  <w:style w:type="paragraph" w:styleId="SourceCode" w:customStyle="1">
    <w:name w:val="Source Code"/>
    <w:basedOn w:val="Normal"/>
    <w:link w:val="VerbatimChar"/>
    <w:qFormat/>
    <w:rsid w:val="00181df9"/>
    <w:pPr>
      <w:jc w:val="both"/>
    </w:pPr>
    <w:rPr>
      <w:i/>
      <w:iCs/>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Wassim.Kassouf.med@ssss.gouv.qc.ca" TargetMode="External"/><Relationship Id="rId3" Type="http://schemas.openxmlformats.org/officeDocument/2006/relationships/hyperlink" Target="mailto:alireza.sadeghi.md@gmail.com" TargetMode="External"/><Relationship Id="rId4" Type="http://schemas.openxmlformats.org/officeDocument/2006/relationships/hyperlink" Target="https://orcid.org/0000-0002-7950-3270" TargetMode="External"/><Relationship Id="rId5" Type="http://schemas.openxmlformats.org/officeDocument/2006/relationships/hyperlink" Target="mailto:nouri.fatmh@gmail.com" TargetMode="External"/><Relationship Id="rId6" Type="http://schemas.openxmlformats.org/officeDocument/2006/relationships/hyperlink" Target="https://orcid.org/0000-0002-4878-7848" TargetMode="External"/><Relationship Id="rId7" Type="http://schemas.openxmlformats.org/officeDocument/2006/relationships/hyperlink" Target="mailto:niloofar.dehdari6021@gmail.com" TargetMode="External"/><Relationship Id="rId8" Type="http://schemas.openxmlformats.org/officeDocument/2006/relationships/hyperlink" Target="https://orcid.org/0000-0002-9866-8361" TargetMode="External"/><Relationship Id="rId9" Type="http://schemas.openxmlformats.org/officeDocument/2006/relationships/hyperlink" Target="mailto:etaherim123@gmail.com" TargetMode="External"/><Relationship Id="rId10" Type="http://schemas.openxmlformats.org/officeDocument/2006/relationships/hyperlink" Target="https://orcid.org/0000-0002-8438-4990" TargetMode="External"/><Relationship Id="rId11" Type="http://schemas.openxmlformats.org/officeDocument/2006/relationships/hyperlink" Target="mailto:Wassim.Kassouf.med@ssss.gouv.qc.ca" TargetMode="External"/><Relationship Id="rId12" Type="http://schemas.openxmlformats.org/officeDocument/2006/relationships/hyperlink" Target="https://orcid.org/0000-0002-8350-0531" TargetMode="External"/><Relationship Id="rId13" Type="http://schemas.openxmlformats.org/officeDocument/2006/relationships/hyperlink" Target="https://ghdx.healthdata.org/" TargetMode="External"/><Relationship Id="rId14" Type="http://schemas.openxmlformats.org/officeDocument/2006/relationships/hyperlink" Target="https://github.com/alireza5969/gbd-bladder-cancer" TargetMode="External"/><Relationship Id="rId15" Type="http://schemas.openxmlformats.org/officeDocument/2006/relationships/hyperlink" Target="https://github.com/alireza5969/gbd-bladder-cancer/blob/main/scripts/functions.r" TargetMode="External"/><Relationship Id="rId16" Type="http://schemas.openxmlformats.org/officeDocument/2006/relationships/image" Target="media/image1.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4.svg"/><Relationship Id="rId20" Type="http://schemas.openxmlformats.org/officeDocument/2006/relationships/hyperlink" Target="https://github.com/alireza5969/gbd-bladder-cancer/tree/main/output/figures/Population%20pyramid%20-%202021" TargetMode="External"/><Relationship Id="rId21" Type="http://schemas.openxmlformats.org/officeDocument/2006/relationships/hyperlink" Target="https://github.com/alireza5969/gbd-bladder-cancer/tree/main/output/figures/Population%20pyramid%20-%20animated" TargetMode="External"/><Relationship Id="rId22" Type="http://schemas.openxmlformats.org/officeDocument/2006/relationships/hyperlink" Target="https://github.com/alireza5969/gbd-bladder-cancer/tree/main/output/figures/APC%20plot%201" TargetMode="External"/><Relationship Id="rId23" Type="http://schemas.openxmlformats.org/officeDocument/2006/relationships/image" Target="media/image5.png"/><Relationship Id="rId24" Type="http://schemas.openxmlformats.org/officeDocument/2006/relationships/image" Target="media/image6.svg"/><Relationship Id="rId25" Type="http://schemas.openxmlformats.org/officeDocument/2006/relationships/hyperlink" Target="https://github.com/alireza5969/gbd-bladder-cancer/tree/main/output/figures/Geofacet%20plot" TargetMode="External"/><Relationship Id="rId26" Type="http://schemas.openxmlformats.org/officeDocument/2006/relationships/image" Target="media/image7.png"/><Relationship Id="rId27" Type="http://schemas.openxmlformats.org/officeDocument/2006/relationships/image" Target="media/image8.svg"/><Relationship Id="rId28" Type="http://schemas.openxmlformats.org/officeDocument/2006/relationships/image" Target="media/image9.png"/><Relationship Id="rId29" Type="http://schemas.openxmlformats.org/officeDocument/2006/relationships/image" Target="media/image10.svg"/><Relationship Id="rId30" Type="http://schemas.openxmlformats.org/officeDocument/2006/relationships/hyperlink" Target="https://github.com/alireza5969/gbd-bladder-cancer/blob/main/output/tables/Percent%20change%20since%201980%20in%20Bladder%20cancer%20measures.pdf" TargetMode="External"/><Relationship Id="rId31" Type="http://schemas.openxmlformats.org/officeDocument/2006/relationships/hyperlink" Target="https://github.com/alireza5969/gbd-bladder-cancer/tree/main/output/figures/Geofacet%20plot" TargetMode="External"/><Relationship Id="rId32" Type="http://schemas.openxmlformats.org/officeDocument/2006/relationships/hyperlink" Target="https://github.com/alireza5969/gbd-bladder-cancer/tree/main/output/figures/Population%20pyramid%20-%202021" TargetMode="External"/><Relationship Id="rId33" Type="http://schemas.openxmlformats.org/officeDocument/2006/relationships/hyperlink" Target="https://github.com/alireza5969/gbd-bladder-cancer/tree/main/output/figures/Population%20pyramid%20-%20animated" TargetMode="External"/><Relationship Id="rId34" Type="http://schemas.openxmlformats.org/officeDocument/2006/relationships/hyperlink" Target="https://github.com/alireza5969/gbd-bladder-cancer/tree/main/output/figures/Bump%20plot" TargetMode="External"/><Relationship Id="rId35" Type="http://schemas.openxmlformats.org/officeDocument/2006/relationships/hyperlink" Target="https://github.com/alireza5969/gbd-bladder-cancer/tree/main/output/figures/APC%20plot%201" TargetMode="External"/><Relationship Id="rId36" Type="http://schemas.openxmlformats.org/officeDocument/2006/relationships/hyperlink" Target="https://ghdx.healthdata.org/" TargetMode="External"/><Relationship Id="rId37" Type="http://schemas.openxmlformats.org/officeDocument/2006/relationships/hyperlink" Target="https://github.com/alireza5969/gbd-bladder-cancer" TargetMode="External"/><Relationship Id="rId38" Type="http://schemas.openxmlformats.org/officeDocument/2006/relationships/hyperlink" Target="https://seer.cancer.gov/statfacts/html/urinb.html" TargetMode="External"/><Relationship Id="rId39" Type="http://schemas.openxmlformats.org/officeDocument/2006/relationships/hyperlink" Target="https://doi.org/10.3322/caac.21590" TargetMode="External"/><Relationship Id="rId40" Type="http://schemas.openxmlformats.org/officeDocument/2006/relationships/hyperlink" Target="https://doi.org/10.1038/s41598-025-92033-5" TargetMode="External"/><Relationship Id="rId41" Type="http://schemas.openxmlformats.org/officeDocument/2006/relationships/hyperlink" Target="https://doi.org/10.1097/mou.0000000000000078" TargetMode="External"/><Relationship Id="rId42" Type="http://schemas.openxmlformats.org/officeDocument/2006/relationships/hyperlink" Target="https://doi.org/10.1016/j.eururo.2014.01.006" TargetMode="External"/><Relationship Id="rId43" Type="http://schemas.openxmlformats.org/officeDocument/2006/relationships/hyperlink" Target="https://doi.org/10.1007/s40273-023-01273-8" TargetMode="External"/><Relationship Id="rId44" Type="http://schemas.openxmlformats.org/officeDocument/2006/relationships/hyperlink" Target="https://www.sciencedirect.com/science/article/pii/S1078143924004204" TargetMode="External"/><Relationship Id="rId45" Type="http://schemas.openxmlformats.org/officeDocument/2006/relationships/hyperlink" Target="https://doi.org/10.1016/j.scitotenv.2019.03.290" TargetMode="External"/><Relationship Id="rId46" Type="http://schemas.openxmlformats.org/officeDocument/2006/relationships/hyperlink" Target="https://doi.org/10.3389/fpubh.2024.1354663" TargetMode="External"/><Relationship Id="rId47" Type="http://schemas.openxmlformats.org/officeDocument/2006/relationships/hyperlink" Target="https://doi.org/10.1016/j.eururo.2022.11.023" TargetMode="External"/><Relationship Id="rId48" Type="http://schemas.openxmlformats.org/officeDocument/2006/relationships/hyperlink" Target="https://doi.org/10.1016/j.juro.2015.07.091" TargetMode="External"/><Relationship Id="rId49" Type="http://schemas.openxmlformats.org/officeDocument/2006/relationships/hyperlink" Target="https://statecancerprofiles.cancer.gov/index.html" TargetMode="External"/><Relationship Id="rId50" Type="http://schemas.openxmlformats.org/officeDocument/2006/relationships/hyperlink" Target="https://doi.org/10.3233/blc-230062" TargetMode="External"/><Relationship Id="rId51" Type="http://schemas.openxmlformats.org/officeDocument/2006/relationships/hyperlink" Target="https://doi.org/10.1002/cam4.4917" TargetMode="External"/><Relationship Id="rId52" Type="http://schemas.openxmlformats.org/officeDocument/2006/relationships/hyperlink" Target="https://doi.org/10.3322/caac.21660" TargetMode="External"/><Relationship Id="rId53" Type="http://schemas.openxmlformats.org/officeDocument/2006/relationships/hyperlink" Target="https://doi.org/10.1007/s11255-015-0980-6" TargetMode="External"/><Relationship Id="rId54" Type="http://schemas.openxmlformats.org/officeDocument/2006/relationships/hyperlink" Target="http://dx.doi.org/10.1016/S0140-6736(24)00757-8" TargetMode="External"/><Relationship Id="rId55" Type="http://schemas.openxmlformats.org/officeDocument/2006/relationships/hyperlink" Target="http://dx.doi.org/10.1016/s0140-6736(24)00367-2" TargetMode="External"/><Relationship Id="rId56" Type="http://schemas.openxmlformats.org/officeDocument/2006/relationships/hyperlink" Target="http://dx.doi.org/10.1016/s1474-4422(21)00252-0" TargetMode="External"/><Relationship Id="rId57" Type="http://schemas.openxmlformats.org/officeDocument/2006/relationships/hyperlink" Target="https://ghdx.healthdata.org/node/548352" TargetMode="External"/><Relationship Id="rId58" Type="http://schemas.openxmlformats.org/officeDocument/2006/relationships/hyperlink" Target="https://www.R-project.org/" TargetMode="External"/><Relationship Id="rId59" Type="http://schemas.openxmlformats.org/officeDocument/2006/relationships/hyperlink" Target="https://github.com/rasmusab/beepr" TargetMode="External"/><Relationship Id="rId60" Type="http://schemas.openxmlformats.org/officeDocument/2006/relationships/hyperlink" Target="https://ardata-fr.github.io/flextable-book/" TargetMode="External"/><Relationship Id="rId61" Type="http://schemas.openxmlformats.org/officeDocument/2006/relationships/hyperlink" Target="https://github.com/DavisVaughan/furrr" TargetMode="External"/><Relationship Id="rId62" Type="http://schemas.openxmlformats.org/officeDocument/2006/relationships/hyperlink" Target="https://doi.org/10.32614/RJ-2021-048" TargetMode="External"/><Relationship Id="rId63" Type="http://schemas.openxmlformats.org/officeDocument/2006/relationships/hyperlink" Target="https://github.com/hafen/geofacet" TargetMode="External"/><Relationship Id="rId64" Type="http://schemas.openxmlformats.org/officeDocument/2006/relationships/hyperlink" Target="https://gganimate.com/" TargetMode="External"/><Relationship Id="rId65" Type="http://schemas.openxmlformats.org/officeDocument/2006/relationships/hyperlink" Target="https://eliocamp.github.io/ggnewscale/" TargetMode="External"/><Relationship Id="rId66" Type="http://schemas.openxmlformats.org/officeDocument/2006/relationships/hyperlink" Target="https://wilkelab.org/ggtext/" TargetMode="External"/><Relationship Id="rId67" Type="http://schemas.openxmlformats.org/officeDocument/2006/relationships/hyperlink" Target="https://glue.tidyverse.org/" TargetMode="External"/><Relationship Id="rId68" Type="http://schemas.openxmlformats.org/officeDocument/2006/relationships/hyperlink" Target="https://yihui.org/knitr/" TargetMode="External"/><Relationship Id="rId69" Type="http://schemas.openxmlformats.org/officeDocument/2006/relationships/hyperlink" Target="https://yihui.org/knitr/" TargetMode="External"/><Relationship Id="rId70" Type="http://schemas.openxmlformats.org/officeDocument/2006/relationships/hyperlink" Target="https://ardata-fr.github.io/officeverse/" TargetMode="External"/><Relationship Id="rId71" Type="http://schemas.openxmlformats.org/officeDocument/2006/relationships/hyperlink" Target="https://github.com/EmilHvitfeldt/paletteer" TargetMode="External"/><Relationship Id="rId72" Type="http://schemas.openxmlformats.org/officeDocument/2006/relationships/hyperlink" Target="https://patchwork.data-imaginist.com/" TargetMode="External"/><Relationship Id="rId73" Type="http://schemas.openxmlformats.org/officeDocument/2006/relationships/hyperlink" Target="https://rstudio.github.io/renv/" TargetMode="External"/><Relationship Id="rId74" Type="http://schemas.openxmlformats.org/officeDocument/2006/relationships/hyperlink" Target="https://bookdown.org/yihui/rmarkdown" TargetMode="External"/><Relationship Id="rId75" Type="http://schemas.openxmlformats.org/officeDocument/2006/relationships/hyperlink" Target="https://bookdown.org/yihui/rmarkdown-cookbook" TargetMode="External"/><Relationship Id="rId76" Type="http://schemas.openxmlformats.org/officeDocument/2006/relationships/hyperlink" Target="https://github.com/rstudio/rmarkdown" TargetMode="External"/><Relationship Id="rId77" Type="http://schemas.openxmlformats.org/officeDocument/2006/relationships/hyperlink" Target="https://scales.r-lib.org/" TargetMode="External"/><Relationship Id="rId78" Type="http://schemas.openxmlformats.org/officeDocument/2006/relationships/hyperlink" Target="https://svglite.r-lib.org/" TargetMode="External"/><Relationship Id="rId79" Type="http://schemas.openxmlformats.org/officeDocument/2006/relationships/hyperlink" Target="https://doi.org/10.21105/joss.01686" TargetMode="External"/><Relationship Id="rId80" Type="http://schemas.openxmlformats.org/officeDocument/2006/relationships/hyperlink" Target="http://dx.doi.org/10.1016/S0140-6736(20)30925-9" TargetMode="External"/><Relationship Id="rId81" Type="http://schemas.openxmlformats.org/officeDocument/2006/relationships/hyperlink" Target="https://data.worldbank.org/indicator/SH.XPD.CHEX.PP.CD" TargetMode="External"/><Relationship Id="rId82" Type="http://schemas.openxmlformats.org/officeDocument/2006/relationships/hyperlink" Target="https://www.sciencedirect.com/science/article/pii/S1078143911002808" TargetMode="External"/><Relationship Id="rId83" Type="http://schemas.openxmlformats.org/officeDocument/2006/relationships/hyperlink" Target="https://doi.org/10.1038/s41598-018-19199-z" TargetMode="External"/><Relationship Id="rId84" Type="http://schemas.openxmlformats.org/officeDocument/2006/relationships/hyperlink" Target="https://doi.org/10.1186/s40779-024-00569-w" TargetMode="External"/><Relationship Id="rId85" Type="http://schemas.openxmlformats.org/officeDocument/2006/relationships/hyperlink" Target="https://www.ncbi.nlm.nih.gov/books/NBK53914/" TargetMode="External"/><Relationship Id="rId86" Type="http://schemas.openxmlformats.org/officeDocument/2006/relationships/hyperlink" Target="https://doi.org/10.1007/s10654-016-0138-6" TargetMode="External"/><Relationship Id="rId87" Type="http://schemas.openxmlformats.org/officeDocument/2006/relationships/hyperlink" Target="https://doi.org/10.1002/ijc.10332" TargetMode="External"/><Relationship Id="rId88" Type="http://schemas.openxmlformats.org/officeDocument/2006/relationships/hyperlink" Target="https://doi.org/10.7759/cureus.27330" TargetMode="External"/><Relationship Id="rId89" Type="http://schemas.openxmlformats.org/officeDocument/2006/relationships/hyperlink" Target="https://doi.org/10.1016/j.urolonc.2009.07.020" TargetMode="External"/><Relationship Id="rId90" Type="http://schemas.openxmlformats.org/officeDocument/2006/relationships/hyperlink" Target="https://doi.org/10.1002/cncr.28416" TargetMode="External"/><Relationship Id="rId91" Type="http://schemas.openxmlformats.org/officeDocument/2006/relationships/hyperlink" Target="https://doi.org/10.1038/s41585-023-00806-2" TargetMode="External"/><Relationship Id="rId92" Type="http://schemas.openxmlformats.org/officeDocument/2006/relationships/hyperlink" Target="https://doi.org/10.3233/blc-190221" TargetMode="External"/><Relationship Id="rId93" Type="http://schemas.openxmlformats.org/officeDocument/2006/relationships/hyperlink" Target="https://doi.org/10.1097/ju.0000000000004490" TargetMode="External"/><Relationship Id="rId94" Type="http://schemas.openxmlformats.org/officeDocument/2006/relationships/hyperlink" Target="https://doi.org/10.1038/s41389-023-00489-9" TargetMode="External"/><Relationship Id="rId95" Type="http://schemas.openxmlformats.org/officeDocument/2006/relationships/hyperlink" Target="https://doi.org/10.1007/s11010-007-9423-8" TargetMode="External"/><Relationship Id="rId96" Type="http://schemas.openxmlformats.org/officeDocument/2006/relationships/hyperlink" Target="https://doi.org/10.3892/etm.2019.7879" TargetMode="External"/><Relationship Id="rId97" Type="http://schemas.openxmlformats.org/officeDocument/2006/relationships/hyperlink" Target="https://doi.org/10.1001/jama.2011.1142" TargetMode="External"/><Relationship Id="rId98" Type="http://schemas.openxmlformats.org/officeDocument/2006/relationships/hyperlink" Target="https://doi.org/10.1093/jnci/djw099" TargetMode="External"/><Relationship Id="rId99" Type="http://schemas.openxmlformats.org/officeDocument/2006/relationships/hyperlink" Target="https://doi.org/10.1289/ehp89" TargetMode="External"/><Relationship Id="rId100" Type="http://schemas.openxmlformats.org/officeDocument/2006/relationships/hyperlink" Target="https://doi.org/10.1007/s40572-015-0057-9" TargetMode="External"/><Relationship Id="rId101" Type="http://schemas.openxmlformats.org/officeDocument/2006/relationships/hyperlink" Target="https://doi.org/10.1016/j.scitotenv.2020.139683" TargetMode="External"/><Relationship Id="rId102" Type="http://schemas.openxmlformats.org/officeDocument/2006/relationships/hyperlink" Target="https://doi.org/10.1200/JCO.2025.43.16_suppl.e16612" TargetMode="External"/><Relationship Id="rId103" Type="http://schemas.openxmlformats.org/officeDocument/2006/relationships/hyperlink" Target="https://doi.org/10.1001/jamainternmed.2016.6530" TargetMode="External"/><Relationship Id="rId104" Type="http://schemas.openxmlformats.org/officeDocument/2006/relationships/hyperlink" Target="https://doi.org/10.1007/s10552-020-01366-1" TargetMode="External"/><Relationship Id="rId105" Type="http://schemas.openxmlformats.org/officeDocument/2006/relationships/hyperlink" Target="https://doi.org/10.4111/icu.20230125" TargetMode="External"/><Relationship Id="rId106" Type="http://schemas.openxmlformats.org/officeDocument/2006/relationships/hyperlink" Target="https://doi.org/10.1016/j.juro.2017.10.011" TargetMode="External"/><Relationship Id="rId107" Type="http://schemas.openxmlformats.org/officeDocument/2006/relationships/hyperlink" Target="https://doi.org/10.1002/cncr.32594" TargetMode="External"/><Relationship Id="rId108" Type="http://schemas.openxmlformats.org/officeDocument/2006/relationships/hyperlink" Target="https://doi.org/10.1038/s41598-018-29987-2" TargetMode="External"/><Relationship Id="rId109" Type="http://schemas.openxmlformats.org/officeDocument/2006/relationships/hyperlink" Target="https://www.cdc.gov/brfss/brfssprevalence/" TargetMode="Externa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LibreOffice/26.2.4.2$Linux_X86_64 LibreOffice_project/620$Build-2</Application>
  <AppVersion>15.0000</AppVersion>
  <Pages>47</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2025-12-29T14:30:05Z</dcterms:created>
  <dc:creator>Alireza Sadeghi1, Fatemeh Nouri1, Niloofar Dehdari Ebrahimi1, Ehsan Taherifard1, and Wassim Kassouf2,✉</dc:creator>
  <dc:description/>
  <cp:keywords>bladder cancer global burden of disease United States of America incidence mortality prevalence</cp:keywords>
  <dc:language>en-US</dc:language>
  <cp:lastModifiedBy/>
  <dcterms:modified xsi:type="dcterms:W3CDTF">2026-07-18T17:02:34Z</dcterms:modified>
  <cp:revision>2</cp:revision>
  <dc:subject/>
  <dc:title>Bladder Cancer in the United States: National Trends and State-Level Patterns from Global Burden of Disease (GBD) Study, 1980-2021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Burden of Bladder Cancer in the United States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