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svg" ContentType="image/svg+xml"/>
  <Override PartName="/word/media/rId93.svg" ContentType="image/svg+xml"/>
  <Override PartName="/word/media/rId77.svg" ContentType="image/svg+xml"/>
  <Override PartName="/word/media/rId73.svg" ContentType="image/svg+xml"/>
  <Override PartName="/word/media/rId85.svg" ContentType="image/svg+xml"/>
  <Override PartName="/word/media/rId89.svg" ContentType="image/svg+xml"/>
  <Override PartName="/word/media/rId100.svg" ContentType="image/svg+xml"/>
  <Override PartName="/word/media/rId53.svg" ContentType="image/svg+xml"/>
  <Override PartName="/word/media/rId65.svg" ContentType="image/svg+xml"/>
  <Override PartName="/word/media/rId49.svg" ContentType="image/svg+xml"/>
  <Override PartName="/word/media/rId45.svg" ContentType="image/svg+xml"/>
  <Override PartName="/word/media/rId57.svg" ContentType="image/svg+xml"/>
  <Override PartName="/word/media/rId61.svg" ContentType="image/svg+xml"/>
  <Override PartName="/word/media/rId37.svg" ContentType="image/svg+xml"/>
  <Override PartName="/word/media/rId41.svg" ContentType="image/svg+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Alireza Sadeghi &lt;alireza.sadeghi.md@gmail.com&gt;</w:t>
        </w:r>
      </w:hyperlink>
      <w:r>
        <w:t xml:space="preserve">,</w:t>
      </w:r>
      <w:r>
        <w:t xml:space="preserve"> </w:t>
      </w:r>
      <w:hyperlink r:id="rId21">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20">
        <w:r>
          <w:rPr>
            <w:rStyle w:val="Hyperlink"/>
          </w:rPr>
          <w:t xml:space="preserve">alireza.sadeghi.md@gmail.com</w:t>
        </w:r>
      </w:hyperlink>
    </w:p>
    <w:p>
      <w:pPr>
        <w:numPr>
          <w:ilvl w:val="0"/>
          <w:numId w:val="1001"/>
        </w:numPr>
      </w:pPr>
      <w:r>
        <w:t xml:space="preserve">ORCID</w:t>
      </w:r>
      <w:r>
        <w:t xml:space="preserve"> </w:t>
      </w:r>
      <w:hyperlink r:id="rId22">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23">
        <w:r>
          <w:rPr>
            <w:rStyle w:val="Hyperlink"/>
          </w:rPr>
          <w:t xml:space="preserve">nouri.fatmh@gmail.com</w:t>
        </w:r>
      </w:hyperlink>
    </w:p>
    <w:p>
      <w:pPr>
        <w:numPr>
          <w:ilvl w:val="0"/>
          <w:numId w:val="1002"/>
        </w:numPr>
      </w:pPr>
      <w:r>
        <w:t xml:space="preserve">ORCID</w:t>
      </w:r>
      <w:r>
        <w:t xml:space="preserve"> </w:t>
      </w:r>
      <w:hyperlink r:id="rId24">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25">
        <w:r>
          <w:rPr>
            <w:rStyle w:val="Hyperlink"/>
          </w:rPr>
          <w:t xml:space="preserve">niloofar.dehdari6021@gmail.com</w:t>
        </w:r>
      </w:hyperlink>
    </w:p>
    <w:p>
      <w:pPr>
        <w:numPr>
          <w:ilvl w:val="0"/>
          <w:numId w:val="1003"/>
        </w:numPr>
      </w:pPr>
      <w:r>
        <w:t xml:space="preserve">ORCID</w:t>
      </w:r>
      <w:r>
        <w:t xml:space="preserve"> </w:t>
      </w:r>
      <w:hyperlink r:id="rId26">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27">
        <w:r>
          <w:rPr>
            <w:rStyle w:val="Hyperlink"/>
          </w:rPr>
          <w:t xml:space="preserve">etaherim123@gmail.com</w:t>
        </w:r>
      </w:hyperlink>
    </w:p>
    <w:p>
      <w:pPr>
        <w:numPr>
          <w:ilvl w:val="0"/>
          <w:numId w:val="1004"/>
        </w:numPr>
      </w:pPr>
      <w:r>
        <w:t xml:space="preserve">ORCID</w:t>
      </w:r>
      <w:r>
        <w:t xml:space="preserve"> </w:t>
      </w:r>
      <w:hyperlink r:id="rId28">
        <w:r>
          <w:rPr>
            <w:rStyle w:val="Hyperlink"/>
          </w:rPr>
          <w:t xml:space="preserve">0000-0002-8438-4990</w:t>
        </w:r>
      </w:hyperlink>
    </w:p>
    <w:p>
      <w:pPr>
        <w:pStyle w:val="FirstParagraph"/>
      </w:pPr>
      <w:r>
        <w:t xml:space="preserve">Wassim Kassouf</w:t>
      </w:r>
    </w:p>
    <w:p>
      <w:pPr>
        <w:numPr>
          <w:ilvl w:val="0"/>
          <w:numId w:val="1005"/>
        </w:numPr>
      </w:pPr>
      <w:r>
        <w:t xml:space="preserve">Email</w:t>
      </w:r>
      <w:r>
        <w:t xml:space="preserve"> </w:t>
      </w:r>
      <w:hyperlink r:id="rId21">
        <w:r>
          <w:rPr>
            <w:rStyle w:val="Hyperlink"/>
          </w:rPr>
          <w:t xml:space="preserve">Wassim.Kassouf.med@ssss.gouv.qc.ca</w:t>
        </w:r>
      </w:hyperlink>
    </w:p>
    <w:p>
      <w:pPr>
        <w:numPr>
          <w:ilvl w:val="0"/>
          <w:numId w:val="1005"/>
        </w:numPr>
      </w:pPr>
      <w:r>
        <w:t xml:space="preserve">ORCID</w:t>
      </w:r>
      <w:r>
        <w:t xml:space="preserve"> </w:t>
      </w:r>
      <w:hyperlink r:id="rId29">
        <w:r>
          <w:rPr>
            <w:rStyle w:val="Hyperlink"/>
          </w:rPr>
          <w:t xml:space="preserve">0000-0002-8350-0531</w:t>
        </w:r>
      </w:hyperlink>
    </w:p>
    <w:p>
      <w:r>
        <w:br w:type="page"/>
      </w:r>
    </w:p>
    <w:bookmarkStart w:id="30" w:name="abstract"/>
    <w:p>
      <w:pPr>
        <w:pStyle w:val="Heading1"/>
      </w:pPr>
      <w:r>
        <w:t xml:space="preserve">1. Abstract</w:t>
      </w:r>
    </w:p>
    <w:p>
      <w:pPr>
        <w:pStyle w:val="FirstParagraph"/>
      </w:pPr>
      <w:r>
        <w:rPr>
          <w:b/>
          <w:bCs/>
        </w:rPr>
        <w:t xml:space="preserve">Background:</w:t>
      </w:r>
      <w:r>
        <w:t xml:space="preserve"> </w:t>
      </w:r>
      <w:r>
        <w:t xml:space="preserve">United States is the country with most expenditure in health care. Yet, the</w:t>
      </w:r>
      <w:r>
        <w:t xml:space="preserve"> </w:t>
      </w:r>
      <w:r>
        <w:t xml:space="preserve">statistics do not correlate with the amount of money being spent. Investigating national- and</w:t>
      </w:r>
      <w:r>
        <w:t xml:space="preserve"> </w:t>
      </w:r>
      <w:r>
        <w:t xml:space="preserve">state-level historical trends and comparing them with other countries provides insights for policy</w:t>
      </w:r>
      <w:r>
        <w:t xml:space="preserve"> </w:t>
      </w:r>
      <w:r>
        <w:t xml:space="preserve">makers.</w:t>
      </w:r>
      <w:r>
        <w:t xml:space="preserve"> </w:t>
      </w:r>
      <w:r>
        <w:rPr>
          <w:b/>
          <w:bCs/>
        </w:rPr>
        <w:t xml:space="preserve">Aim:</w:t>
      </w:r>
      <w:r>
        <w:t xml:space="preserve"> </w:t>
      </w:r>
      <w:r>
        <w:t xml:space="preserve">We aim to explore the chronological trends in the rate of bladder cancer burden,</w:t>
      </w:r>
      <w:r>
        <w:t xml:space="preserve"> </w:t>
      </w:r>
      <w:r>
        <w:t xml:space="preserve">including prevalence, incidence, mortality, Disability-Adjusted Life Year (DALY), Years Lived with</w:t>
      </w:r>
      <w:r>
        <w:t xml:space="preserve"> </w:t>
      </w:r>
      <w:r>
        <w:t xml:space="preserve">Disability (YLD), and Years of Life Lost (YLL). State-level disparities and long-term effects of</w:t>
      </w:r>
      <w:r>
        <w:t xml:space="preserve"> </w:t>
      </w:r>
      <w:r>
        <w:t xml:space="preserve">health policies were explored.</w:t>
      </w:r>
      <w:r>
        <w:t xml:space="preserve"> </w:t>
      </w:r>
      <w:r>
        <w:rPr>
          <w:b/>
          <w:bCs/>
        </w:rPr>
        <w:t xml:space="preserve">Methodology:</w:t>
      </w:r>
      <w:r>
        <w:t xml:space="preserve"> </w:t>
      </w:r>
      <w:r>
        <w:t xml:space="preserve">Data from Global Burden of Disease (GBD) was</w:t>
      </w:r>
      <w:r>
        <w:t xml:space="preserve"> </w:t>
      </w:r>
      <w:r>
        <w:t xml:space="preserve">retrieved. Age- and gender-classified historical trends visualized for each state as well as the</w:t>
      </w:r>
      <w:r>
        <w:t xml:space="preserve"> </w:t>
      </w:r>
      <w:r>
        <w:t xml:space="preserve">country. Trends were compared with other competing health systems, including European Union,</w:t>
      </w:r>
      <w:r>
        <w:t xml:space="preserve"> </w:t>
      </w:r>
      <w:r>
        <w:t xml:space="preserve">countries with high Socio-Demographic Index (SDI), and high income.</w:t>
      </w:r>
      <w:r>
        <w:t xml:space="preserve"> </w:t>
      </w:r>
      <w:r>
        <w:rPr>
          <w:b/>
          <w:bCs/>
        </w:rPr>
        <w:t xml:space="preserve">Results:</w:t>
      </w:r>
      <w:r>
        <w:t xml:space="preserve"> </w:t>
      </w:r>
      <w:r>
        <w:t xml:space="preserve">In 2021, United States recorded age-standardized rates of 8.35 for YLDs (0.33 lower), 3.41 for mortality (0.11 higher), 59.80 for YLLs (6.75 higher), 100.63 for prevalence (6.61 lower), 14.69 for incidence (0.51 lower), and 68.15 for DALYs (6.42 higher) compared to 1990 records.</w:t>
      </w:r>
      <w:r>
        <w:t xml:space="preserve"> </w:t>
      </w:r>
      <w:r>
        <w:rPr>
          <w:b/>
          <w:bCs/>
        </w:rPr>
        <w:t xml:space="preserve">Conclusion:</w:t>
      </w:r>
      <w:r>
        <w:t xml:space="preserve"> </w:t>
      </w:r>
      <w:r>
        <w:t xml:space="preserve">To reduce the significant</w:t>
      </w:r>
      <w:r>
        <w:t xml:space="preserve"> </w:t>
      </w:r>
      <w:r>
        <w:t xml:space="preserve">and disparate burden of BC in the United States, targeted public health</w:t>
      </w:r>
      <w:r>
        <w:t xml:space="preserve"> </w:t>
      </w:r>
      <w:r>
        <w:t xml:space="preserve">initiatives and region-specific policies are essential.</w:t>
      </w:r>
      <w:r>
        <w:t xml:space="preserve"> </w:t>
      </w:r>
      <w:r>
        <w:t xml:space="preserve">These must address modifiable risk factors, improve diagnostic</w:t>
      </w:r>
      <w:r>
        <w:t xml:space="preserve"> </w:t>
      </w:r>
      <w:r>
        <w:t xml:space="preserve">equity, and expand access to early detection and care.</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30"/>
    <w:bookmarkStart w:id="31" w:name="introduction"/>
    <w:p>
      <w:pPr>
        <w:pStyle w:val="Heading1"/>
      </w:pPr>
      <w:r>
        <w:t xml:space="preserve">2. Introduction</w:t>
      </w:r>
    </w:p>
    <w:p>
      <w:pPr>
        <w:pStyle w:val="FirstParagraph"/>
      </w:pPr>
      <w:r>
        <w:t xml:space="preserve">Bladder cancer (BC) is the sixth most common cancer in the United States</w:t>
      </w:r>
      <w:r>
        <w:t xml:space="preserve"> </w:t>
      </w:r>
      <w:r>
        <w:t xml:space="preserve">(1)</w:t>
      </w:r>
      <w:r>
        <w:t xml:space="preserve">. Among American men, it</w:t>
      </w:r>
      <w:r>
        <w:t xml:space="preserve"> </w:t>
      </w:r>
      <w:r>
        <w:t xml:space="preserve">is the fourth most common cancer and the seventh leading cause of cancer-related mortality</w:t>
      </w:r>
      <w:r>
        <w:t xml:space="preserve"> </w:t>
      </w:r>
      <w:r>
        <w:t xml:space="preserve">(2)</w:t>
      </w:r>
      <w:r>
        <w:t xml:space="preserve">.</w:t>
      </w:r>
      <w:r>
        <w:t xml:space="preserve"> </w:t>
      </w:r>
      <w:r>
        <w:t xml:space="preserve">According to the recent Surveillance, Epidemiology, and End Results (SEER) Program estimates,</w:t>
      </w:r>
      <w:r>
        <w:t xml:space="preserve"> </w:t>
      </w:r>
      <w:r>
        <w:t xml:space="preserve">approximately 84,870 new cases and 17,420 deaths are projected in 2025, accounting for 4.2% of all</w:t>
      </w:r>
      <w:r>
        <w:t xml:space="preserve"> </w:t>
      </w:r>
      <w:r>
        <w:t xml:space="preserve">new cancer diagnoses and 2.8% of cancer-related mortality</w:t>
      </w:r>
      <w:r>
        <w:t xml:space="preserve"> </w:t>
      </w:r>
      <w:r>
        <w:t xml:space="preserve">(1)</w:t>
      </w:r>
      <w:r>
        <w:t xml:space="preserve">. Similar trends are observed</w:t>
      </w:r>
      <w:r>
        <w:t xml:space="preserve"> </w:t>
      </w:r>
      <w:r>
        <w:t xml:space="preserve">outside the United States, specifically, a rising global burden despite declining age-standardized</w:t>
      </w:r>
      <w:r>
        <w:t xml:space="preserve"> </w:t>
      </w:r>
      <w:r>
        <w:t xml:space="preserve">rates, highlighting that BC is a significant public health concern</w:t>
      </w:r>
      <w:r>
        <w:t xml:space="preserve"> </w:t>
      </w:r>
      <w:r>
        <w:t xml:space="preserve">(3)</w:t>
      </w:r>
      <w:r>
        <w:t xml:space="preserve">.</w:t>
      </w:r>
    </w:p>
    <w:p>
      <w:pPr>
        <w:pStyle w:val="BodyText"/>
      </w:pPr>
      <w:r>
        <w:t xml:space="preserve">In addition, BC imposes a high economic burden as management typically involves lifelong</w:t>
      </w:r>
      <w:r>
        <w:t xml:space="preserve"> </w:t>
      </w:r>
      <w:r>
        <w:t xml:space="preserve">surveillance and repeated interventions, making it the costliest cancer to treat per patient over a</w:t>
      </w:r>
      <w:r>
        <w:t xml:space="preserve"> </w:t>
      </w:r>
      <w:r>
        <w:t xml:space="preserve">lifetime</w:t>
      </w:r>
      <w:r>
        <w:t xml:space="preserve"> </w:t>
      </w:r>
      <w:r>
        <w:t xml:space="preserve">(4–6)</w:t>
      </w:r>
      <w:r>
        <w:t xml:space="preserve">. Beyond direct healthcare costs, the disease significantly affects</w:t>
      </w:r>
      <w:r>
        <w:t xml:space="preserve"> </w:t>
      </w:r>
      <w:r>
        <w:t xml:space="preserve">patients’ quality of life as well as the emotional and practical well-being of their caregivers and</w:t>
      </w:r>
      <w:r>
        <w:t xml:space="preserve"> </w:t>
      </w:r>
      <w:r>
        <w:t xml:space="preserve">families</w:t>
      </w:r>
      <w:r>
        <w:t xml:space="preserve"> </w:t>
      </w:r>
      <w:r>
        <w:t xml:space="preserve">(7)</w:t>
      </w:r>
      <w:r>
        <w:t xml:space="preserve">.</w:t>
      </w:r>
    </w:p>
    <w:p>
      <w:pPr>
        <w:pStyle w:val="BodyText"/>
      </w:pPr>
      <w:r>
        <w:t xml:space="preserve">While cigarette smoking has historically been the primary risk factor for BC</w:t>
      </w:r>
      <w:r>
        <w:t xml:space="preserve"> </w:t>
      </w:r>
      <w:r>
        <w:t xml:space="preserve">(8)</w:t>
      </w:r>
      <w:r>
        <w:t xml:space="preserve">, emerging</w:t>
      </w:r>
      <w:r>
        <w:t xml:space="preserve"> </w:t>
      </w:r>
      <w:r>
        <w:t xml:space="preserve">evidence points to a widening array of carcinogenic exposures contributing to its global incidence.</w:t>
      </w:r>
      <w:r>
        <w:t xml:space="preserve"> </w:t>
      </w:r>
      <w:r>
        <w:t xml:space="preserve">These include, but are not limited to, arsenic-contaminated drinking water, occupational and</w:t>
      </w:r>
      <w:r>
        <w:t xml:space="preserve"> </w:t>
      </w:r>
      <w:r>
        <w:t xml:space="preserve">cosmetic chemicals (such as those in hair dyes), dietary factors, and pervasive environmental</w:t>
      </w:r>
      <w:r>
        <w:t xml:space="preserve"> </w:t>
      </w:r>
      <w:r>
        <w:t xml:space="preserve">pollutants</w:t>
      </w:r>
      <w:r>
        <w:t xml:space="preserve"> </w:t>
      </w:r>
      <w:r>
        <w:t xml:space="preserve">(9)</w:t>
      </w:r>
      <w:r>
        <w:t xml:space="preserve">. Despite observing a decrease in the prevalence of cigarette smoking since 1998</w:t>
      </w:r>
      <w:r>
        <w:t xml:space="preserve"> </w:t>
      </w:r>
      <w:r>
        <w:t xml:space="preserve">(10)</w:t>
      </w:r>
      <w:r>
        <w:t xml:space="preserve"> </w:t>
      </w:r>
      <w:r>
        <w:t xml:space="preserve">and the implementation of stricter government regulations on the use of aryl amines, there</w:t>
      </w:r>
      <w:r>
        <w:t xml:space="preserve"> </w:t>
      </w:r>
      <w:r>
        <w:t xml:space="preserve">has not been a corresponding reduction in the incidence of BC</w:t>
      </w:r>
      <w:r>
        <w:t xml:space="preserve"> </w:t>
      </w:r>
      <w:r>
        <w:t xml:space="preserve">(11)</w:t>
      </w:r>
      <w:r>
        <w:t xml:space="preserve">. This stagnation suggests that</w:t>
      </w:r>
      <w:r>
        <w:t xml:space="preserve"> </w:t>
      </w:r>
      <w:r>
        <w:t xml:space="preserve">other environmental and occupational exposures may be driving disease patterns, particularly in</w:t>
      </w:r>
      <w:r>
        <w:t xml:space="preserve"> </w:t>
      </w:r>
      <w:r>
        <w:t xml:space="preserve">regions with inadequate regulatory oversight. One example is the elevated cancer incidence rates</w:t>
      </w:r>
      <w:r>
        <w:t xml:space="preserve"> </w:t>
      </w:r>
      <w:r>
        <w:t xml:space="preserve">observed in certain New England states, which have been partly attributed to environmental</w:t>
      </w:r>
      <w:r>
        <w:t xml:space="preserve"> </w:t>
      </w:r>
      <w:r>
        <w:t xml:space="preserve">carcinogens such as arsenic contamination in drinking water from private household wells</w:t>
      </w:r>
      <w:r>
        <w:t xml:space="preserve"> </w:t>
      </w:r>
      <w:r>
        <w:t xml:space="preserve">(12,13)</w:t>
      </w:r>
      <w:r>
        <w:t xml:space="preserve">. The complex interplay between these exposures and persistent regional and socioeconomic</w:t>
      </w:r>
      <w:r>
        <w:t xml:space="preserve"> </w:t>
      </w:r>
      <w:r>
        <w:t xml:space="preserve">disparities underscores a pressing public health concern; one that remains inadequately</w:t>
      </w:r>
      <w:r>
        <w:t xml:space="preserve"> </w:t>
      </w:r>
      <w:r>
        <w:t xml:space="preserve">characterized and urgently demands targeted surveillance, research, and policy intervention.</w:t>
      </w:r>
    </w:p>
    <w:p>
      <w:pPr>
        <w:pStyle w:val="BodyText"/>
      </w:pPr>
      <w:r>
        <w:t xml:space="preserve">Previous studies have demonstrated substantial regional disparities in BC incidence and outcomes</w:t>
      </w:r>
      <w:r>
        <w:t xml:space="preserve"> </w:t>
      </w:r>
      <w:r>
        <w:t xml:space="preserve">within the United States</w:t>
      </w:r>
      <w:r>
        <w:t xml:space="preserve"> </w:t>
      </w:r>
      <w:r>
        <w:t xml:space="preserve">(14–17)</w:t>
      </w:r>
      <w:r>
        <w:t xml:space="preserve">. For example, Maine reports an</w:t>
      </w:r>
      <w:r>
        <w:t xml:space="preserve"> </w:t>
      </w:r>
      <w:r>
        <w:t xml:space="preserve">age-standardized incidence rate (ASIR) of 26.7 between 2017 and 2021, nearly double that of Hawaii,</w:t>
      </w:r>
      <w:r>
        <w:t xml:space="preserve"> </w:t>
      </w:r>
      <w:r>
        <w:t xml:space="preserve">which stands at 13.4</w:t>
      </w:r>
      <w:r>
        <w:t xml:space="preserve"> </w:t>
      </w:r>
      <w:r>
        <w:t xml:space="preserve">(18)</w:t>
      </w:r>
      <w:r>
        <w:t xml:space="preserve">. Geographic variations likely stem from differences in environmental</w:t>
      </w:r>
      <w:r>
        <w:t xml:space="preserve"> </w:t>
      </w:r>
      <w:r>
        <w:t xml:space="preserve">exposures, socioeconomic status, access to care, and healthcare infrastructure. For instance, BC</w:t>
      </w:r>
      <w:r>
        <w:t xml:space="preserve"> </w:t>
      </w:r>
      <w:r>
        <w:t xml:space="preserve">incidence is highest in northeastern states</w:t>
      </w:r>
      <w:r>
        <w:t xml:space="preserve"> </w:t>
      </w:r>
      <w:r>
        <w:t xml:space="preserve">(16)</w:t>
      </w:r>
      <w:r>
        <w:t xml:space="preserve">, while mortality tends to be greater in Southern</w:t>
      </w:r>
      <w:r>
        <w:t xml:space="preserve"> </w:t>
      </w:r>
      <w:r>
        <w:t xml:space="preserve">states</w:t>
      </w:r>
      <w:r>
        <w:t xml:space="preserve"> </w:t>
      </w:r>
      <w:r>
        <w:t xml:space="preserve">(19)</w:t>
      </w:r>
      <w:r>
        <w:t xml:space="preserve"> </w:t>
      </w:r>
      <w:r>
        <w:t xml:space="preserve">where there is higher proportion of older adults, African Americans, and rural</w:t>
      </w:r>
      <w:r>
        <w:t xml:space="preserve"> </w:t>
      </w:r>
      <w:r>
        <w:t xml:space="preserve">populations, groups that often face delays in diagnosis and limited access to quality treatment</w:t>
      </w:r>
      <w:r>
        <w:t xml:space="preserve"> </w:t>
      </w:r>
      <w:r>
        <w:t xml:space="preserve">(20)</w:t>
      </w:r>
      <w:r>
        <w:t xml:space="preserve">.</w:t>
      </w:r>
      <w:r>
        <w:t xml:space="preserve"> </w:t>
      </w:r>
      <w:r>
        <w:t xml:space="preserve"> </w:t>
      </w:r>
    </w:p>
    <w:p>
      <w:pPr>
        <w:pStyle w:val="BodyText"/>
      </w:pPr>
      <w:r>
        <w:t xml:space="preserve">While most BC research to date has focused on national trends or single-institution cohorts, recent,</w:t>
      </w:r>
      <w:r>
        <w:t xml:space="preserve"> </w:t>
      </w:r>
      <w:r>
        <w:t xml:space="preserve">age-standardized comparisons at the state level are scarce. Likewise, although the Global Burden of</w:t>
      </w:r>
      <w:r>
        <w:t xml:space="preserve"> </w:t>
      </w:r>
      <w:r>
        <w:t xml:space="preserve">Disease (GBD) project produces Disability-Adjusted Life Year (DALYs), Years Lived with Disability</w:t>
      </w:r>
      <w:r>
        <w:t xml:space="preserve"> </w:t>
      </w:r>
      <w:r>
        <w:t xml:space="preserve">(YLDs), and Years of Life Lost (YLLs) for BC, these metrics have seen limited uptake in</w:t>
      </w:r>
      <w:r>
        <w:t xml:space="preserve"> </w:t>
      </w:r>
      <w:r>
        <w:t xml:space="preserve">disease-specific epidemiological studies, leaving non-fatal burden and health-system impact</w:t>
      </w:r>
      <w:r>
        <w:t xml:space="preserve"> </w:t>
      </w:r>
      <w:r>
        <w:t xml:space="preserve">underexplored. National analyses report that men have roughly three to four times the incidence of</w:t>
      </w:r>
      <w:r>
        <w:t xml:space="preserve"> </w:t>
      </w:r>
      <w:r>
        <w:t xml:space="preserve">BC</w:t>
      </w:r>
      <w:r>
        <w:t xml:space="preserve"> </w:t>
      </w:r>
      <w:r>
        <w:t xml:space="preserve">(21)</w:t>
      </w:r>
      <w:r>
        <w:t xml:space="preserve"> </w:t>
      </w:r>
      <w:r>
        <w:t xml:space="preserve">yet women present with more advanced disease and poorer survival</w:t>
      </w:r>
      <w:r>
        <w:t xml:space="preserve"> </w:t>
      </w:r>
      <w:r>
        <w:t xml:space="preserve">(22)</w:t>
      </w:r>
      <w:r>
        <w:t xml:space="preserve">; however, these</w:t>
      </w:r>
      <w:r>
        <w:t xml:space="preserve"> </w:t>
      </w:r>
      <w:r>
        <w:t xml:space="preserve">sex-specific outcome gaps have not been systematically mapped across the states.</w:t>
      </w:r>
    </w:p>
    <w:p>
      <w:pPr>
        <w:pStyle w:val="BodyText"/>
      </w:pPr>
      <w:r>
        <w:t xml:space="preserve">To address these gaps, we utilize data from the GBD 2021 study, which provides consistent estimates</w:t>
      </w:r>
      <w:r>
        <w:t xml:space="preserve"> </w:t>
      </w:r>
      <w:r>
        <w:t xml:space="preserve">of key burden metrics for all states. This mostly-descriptive analysis offers a comprehensive</w:t>
      </w:r>
      <w:r>
        <w:t xml:space="preserve"> </w:t>
      </w:r>
      <w:r>
        <w:t xml:space="preserve">insight of BC burden across geographic, temporal, and age group dimensions.</w:t>
      </w:r>
    </w:p>
    <w:bookmarkEnd w:id="31"/>
    <w:bookmarkStart w:id="36" w:name="methodology"/>
    <w:p>
      <w:pPr>
        <w:pStyle w:val="Heading1"/>
      </w:pPr>
      <w:r>
        <w:t xml:space="preserve">3. Methodology</w:t>
      </w:r>
    </w:p>
    <w:bookmarkStart w:id="32" w:name="study-design-and-data-sources"/>
    <w:p>
      <w:pPr>
        <w:pStyle w:val="Heading2"/>
      </w:pPr>
      <w:r>
        <w:t xml:space="preserve">3.1 Study Design and Data Sources</w:t>
      </w:r>
    </w:p>
    <w:p>
      <w:pPr>
        <w:pStyle w:val="FirstParagraph"/>
      </w:pPr>
      <w:r>
        <w:t xml:space="preserve">This population-based study used data from the GBD 2021 database</w:t>
      </w:r>
      <w:r>
        <w:t xml:space="preserve"> </w:t>
      </w:r>
      <w:r>
        <w:t xml:space="preserve"> </w:t>
      </w:r>
      <w:r>
        <w:t xml:space="preserve">. GBD offers</w:t>
      </w:r>
      <w:r>
        <w:t xml:space="preserve"> </w:t>
      </w:r>
      <w:r>
        <w:t xml:space="preserve">comprehensive, modeled estimates for all states, enabling standardized comparisons across time,</w:t>
      </w:r>
      <w:r>
        <w:t xml:space="preserve"> </w:t>
      </w:r>
      <w:r>
        <w:t xml:space="preserve">geography, and socioeconomic strata, making it well-suited for analyzing disparities in BC burden on</w:t>
      </w:r>
      <w:r>
        <w:t xml:space="preserve"> </w:t>
      </w:r>
      <w:r>
        <w:t xml:space="preserve">a national and global scale. The study analyses BC (ICD-10: C67) burden across all the states of the</w:t>
      </w:r>
      <w:r>
        <w:t xml:space="preserve"> </w:t>
      </w:r>
      <w:r>
        <w:t xml:space="preserve">US from 1980 to 2021, assessing incidence, prevalence, mortality, YLLs, YLDs, and DALYs.</w:t>
      </w:r>
      <w:r>
        <w:t xml:space="preserve"> </w:t>
      </w:r>
      <w:r>
        <w:t xml:space="preserve">Age-standardized rates (/100,000) were reported unless data were explicitly stated otherwise.</w:t>
      </w:r>
      <w:r>
        <w:t xml:space="preserve"> </w:t>
      </w:r>
      <w:r>
        <w:t xml:space="preserve">The methodology of the GBD was consistent with previous publications and the details provided in the</w:t>
      </w:r>
      <w:r>
        <w:t xml:space="preserve"> </w:t>
      </w:r>
      <w:r>
        <w:t xml:space="preserve">Appendix. This study complies with the Guidelines for Accurate and Transparent Health Estimates</w:t>
      </w:r>
      <w:r>
        <w:t xml:space="preserve"> </w:t>
      </w:r>
      <w:r>
        <w:t xml:space="preserve">Reporting (GATHER) statement.</w:t>
      </w:r>
    </w:p>
    <w:bookmarkEnd w:id="32"/>
    <w:bookmarkStart w:id="33" w:name="definitions"/>
    <w:p>
      <w:pPr>
        <w:pStyle w:val="Heading2"/>
      </w:pPr>
      <w:r>
        <w:t xml:space="preserve">3.2 Definitions</w:t>
      </w:r>
    </w:p>
    <w:p>
      <w:pPr>
        <w:pStyle w:val="DefinitionTerm"/>
      </w:pPr>
      <w:r>
        <w:t xml:space="preserve">DALYs</w:t>
      </w:r>
    </w:p>
    <w:p>
      <w:pPr>
        <w:pStyle w:val="Definition"/>
      </w:pPr>
      <w:r>
        <w:t xml:space="preserve">A measure of the gap in healthy years of life lived by a population as compared with a normative</w:t>
      </w:r>
      <w:r>
        <w:t xml:space="preserve"> </w:t>
      </w:r>
      <w:r>
        <w:t xml:space="preserve">standard. More formally, DALYs are a time based measure which adds together years of life lost</w:t>
      </w:r>
      <w:r>
        <w:t xml:space="preserve"> </w:t>
      </w:r>
      <w:r>
        <w:t xml:space="preserve">due to premature mortality with the equivalent number of years of life lived with disability or</w:t>
      </w:r>
      <w:r>
        <w:t xml:space="preserve"> </w:t>
      </w:r>
      <w:r>
        <w:t xml:space="preserve">illness.</w:t>
      </w:r>
    </w:p>
    <w:p>
      <w:pPr>
        <w:pStyle w:val="DefinitionTerm"/>
      </w:pPr>
      <w:r>
        <w:t xml:space="preserve">YLLs</w:t>
      </w:r>
    </w:p>
    <w:p>
      <w:pPr>
        <w:pStyle w:val="Definition"/>
      </w:pPr>
      <w:r>
        <w:t xml:space="preserve">The component of the DALYs that measures years of life lost due to premature mortality.</w:t>
      </w:r>
    </w:p>
    <w:p>
      <w:pPr>
        <w:pStyle w:val="DefinitionTerm"/>
      </w:pPr>
      <w:r>
        <w:t xml:space="preserve">YLDs</w:t>
      </w:r>
    </w:p>
    <w:p>
      <w:pPr>
        <w:pStyle w:val="Definition"/>
      </w:pPr>
      <w:r>
        <w:t xml:space="preserve">The component of the DALYs that measures lost years of healthy life through living in health</w:t>
      </w:r>
      <w:r>
        <w:t xml:space="preserve"> </w:t>
      </w:r>
      <w:r>
        <w:t xml:space="preserve">states of less than full health.</w:t>
      </w:r>
    </w:p>
    <w:p>
      <w:pPr>
        <w:pStyle w:val="DefinitionTerm"/>
      </w:pPr>
      <w:r>
        <w:t xml:space="preserve">Socio-Demographic Index (SDI)</w:t>
      </w:r>
    </w:p>
    <w:p>
      <w:pPr>
        <w:pStyle w:val="Definition"/>
      </w:pPr>
      <w:r>
        <w:t xml:space="preserve">A composite average of the rankings of the incomes per capita, average educational attainment, and fertility rates of all areas in the GBD study.</w:t>
      </w:r>
    </w:p>
    <w:p>
      <w:pPr>
        <w:pStyle w:val="DefinitionTerm"/>
      </w:pPr>
      <w:r>
        <w:t xml:space="preserve">Competing Countries</w:t>
      </w:r>
    </w:p>
    <w:p>
      <w:pPr>
        <w:pStyle w:val="Definition"/>
      </w:pPr>
      <w:r>
        <w:t xml:space="preserve">This study defines the groups of countries that are comparable with the United States</w:t>
      </w:r>
      <w:r>
        <w:t xml:space="preserve"> </w:t>
      </w:r>
      <w:r>
        <w:t xml:space="preserve">in the sense of development and income. These country groups include</w:t>
      </w:r>
      <w:r>
        <w:t xml:space="preserve"> </w:t>
      </w:r>
      <w:r>
        <w:t xml:space="preserve">European Union, high-SDI countries, and high-income countries.</w:t>
      </w:r>
    </w:p>
    <w:bookmarkEnd w:id="33"/>
    <w:bookmarkStart w:id="35" w:name="statistical-analysis"/>
    <w:p>
      <w:pPr>
        <w:pStyle w:val="Heading2"/>
      </w:pPr>
      <w:r>
        <w:t xml:space="preserve">3.3 Statistical Analysis</w:t>
      </w:r>
    </w:p>
    <w:p>
      <w:pPr>
        <w:pStyle w:val="FirstParagraph"/>
      </w:pPr>
      <w:r>
        <w:t xml:space="preserve">We reported age-standardized rates for each burden metric using the direct method with the GBD 2021</w:t>
      </w:r>
      <w:r>
        <w:t xml:space="preserve"> </w:t>
      </w:r>
      <w:r>
        <w:t xml:space="preserve">world standard population. Age-standardized rates were not applicable for</w:t>
      </w:r>
      <w:r>
        <w:t xml:space="preserve"> </w:t>
      </w:r>
      <w:r>
        <w:rPr>
          <w:i/>
          <w:iCs/>
        </w:rPr>
        <w:t xml:space="preserve">age- and sex-specific</w:t>
      </w:r>
      <w:r>
        <w:rPr>
          <w:i/>
          <w:iCs/>
        </w:rPr>
        <w:t xml:space="preserve"> </w:t>
      </w:r>
      <w:r>
        <w:rPr>
          <w:i/>
          <w:iCs/>
        </w:rPr>
        <w:t xml:space="preserve">rate curves</w:t>
      </w:r>
      <w:r>
        <w:t xml:space="preserve">. Temporal trends were calculated since 2018 until 2021. All rates were expressed per</w:t>
      </w:r>
      <w:r>
        <w:t xml:space="preserve"> </w:t>
      </w:r>
      <w:r>
        <w:t xml:space="preserve">100,000 population.</w:t>
      </w:r>
      <w:r>
        <w:t xml:space="preserve"> </w:t>
      </w:r>
      <w:r>
        <w:t xml:space="preserve">Uncertainty intervals, used by the GBD study’s Bayesian framework, were defined</w:t>
      </w:r>
      <w:r>
        <w:t xml:space="preserve"> </w:t>
      </w:r>
      <w:r>
        <w:t xml:space="preserve">as the 2.5th and 97.5th percentiles of 500 posterior draws from the framework and account for</w:t>
      </w:r>
      <w:r>
        <w:t xml:space="preserve"> </w:t>
      </w:r>
      <w:r>
        <w:t xml:space="preserve">multiple sources of uncertainty</w:t>
      </w:r>
      <w:r>
        <w:t xml:space="preserve"> </w:t>
      </w:r>
      <w:r>
        <w:t xml:space="preserve">(23)</w:t>
      </w:r>
      <w:r>
        <w:t xml:space="preserve">.</w:t>
      </w:r>
    </w:p>
    <w:p>
      <w:pPr>
        <w:pStyle w:val="BodyText"/>
      </w:pPr>
      <w:r>
        <w:t xml:space="preserve">We used R version 4.5.1 (2025-06-13 ucrt) for calculations. In addition, 28 R packages were employed</w:t>
      </w:r>
      <w:r>
        <w:t xml:space="preserve"> </w:t>
      </w:r>
      <w:r>
        <w:t xml:space="preserve">to facilitate data curation, visualization, analysis, and reproducibility</w:t>
      </w:r>
      <w:r>
        <w:t xml:space="preserve"> </w:t>
      </w:r>
      <w:r>
        <w:t xml:space="preserve">(24–52)</w:t>
      </w:r>
      <w:r>
        <w:t xml:space="preserve">.</w:t>
      </w:r>
      <w:r>
        <w:t xml:space="preserve"> </w:t>
      </w:r>
      <w:r>
        <w:t xml:space="preserve">The full methodology, including data, code, and notebooks are</w:t>
      </w:r>
      <w:r>
        <w:t xml:space="preserve"> </w:t>
      </w:r>
      <w:r>
        <w:t xml:space="preserve">detailed in the study’s</w:t>
      </w:r>
      <w:r>
        <w:t xml:space="preserve"> </w:t>
      </w:r>
      <w:hyperlink r:id="rId34">
        <w:r>
          <w:rPr>
            <w:rStyle w:val="Hyperlink"/>
          </w:rPr>
          <w:t xml:space="preserve">GitHub repository</w:t>
        </w:r>
      </w:hyperlink>
      <w:r>
        <w:t xml:space="preserve">.</w:t>
      </w:r>
    </w:p>
    <w:bookmarkEnd w:id="35"/>
    <w:bookmarkEnd w:id="36"/>
    <w:bookmarkStart w:id="105" w:name="results"/>
    <w:p>
      <w:pPr>
        <w:pStyle w:val="Heading1"/>
      </w:pPr>
      <w:r>
        <w:t xml:space="preserve">4. Results</w:t>
      </w:r>
    </w:p>
    <w:bookmarkStart w:id="98" w:name="Xf14c3df57689d71fb356ed21dbd5f1cdd149a47"/>
    <w:p>
      <w:pPr>
        <w:pStyle w:val="Heading2"/>
      </w:pPr>
      <w:r>
        <w:t xml:space="preserve">4.1 Bladder Cancer Burden: United States Compared to Competing Countris</w:t>
      </w:r>
    </w:p>
    <w:p>
      <w:pPr>
        <w:pStyle w:val="FirstParagraph"/>
      </w:pPr>
      <w:r>
        <w:t xml:space="preserve">In 2021, the incidence rates were 24.0 [22.4, 25.2]</w:t>
      </w:r>
      <w:r>
        <w:t xml:space="preserve"> </w:t>
      </w:r>
      <w:r>
        <w:t xml:space="preserve">and 7.1 [6.3, 7.4], resulting in</w:t>
      </w:r>
      <w:r>
        <w:t xml:space="preserve"> </w:t>
      </w:r>
      <w:r>
        <w:t xml:space="preserve">a mortality rate of 5.8 [5.2, 6.1] and 1.7 [1.4, 1.8], respectively.</w:t>
      </w:r>
      <w:r>
        <w:t xml:space="preserve"> </w:t>
      </w:r>
      <w:r>
        <w:t xml:space="preserve">In the same year, European Union, high-income, and high-SDI countries</w:t>
      </w:r>
      <w:r>
        <w:t xml:space="preserve"> </w:t>
      </w:r>
      <w:r>
        <w:t xml:space="preserve">reported mortality rates of 4.6 [4.1, 4.893],</w:t>
      </w:r>
      <w:r>
        <w:t xml:space="preserve"> </w:t>
      </w:r>
      <w:r>
        <w:t xml:space="preserve">3.5 [3.1, 3.723],</w:t>
      </w:r>
      <w:r>
        <w:t xml:space="preserve"> </w:t>
      </w:r>
      <w:r>
        <w:t xml:space="preserve">and</w:t>
      </w:r>
      <w:r>
        <w:t xml:space="preserve"> </w:t>
      </w:r>
      <w:r>
        <w:t xml:space="preserve">3.4 [3.0, 3.611], respectively</w:t>
      </w:r>
      <w:r>
        <w:t xml:space="preserve"> </w:t>
      </w:r>
      <w:r>
        <w:t xml:space="preserve">in both genders.</w:t>
      </w:r>
    </w:p>
    <w:p>
      <w:pPr>
        <w:pStyle w:val="BodyText"/>
      </w:pPr>
      <w:r>
        <w:t xml:space="preserve">With the highest age-standardized</w:t>
      </w:r>
      <w:r>
        <w:t xml:space="preserve"> </w:t>
      </w:r>
      <w:r>
        <w:t xml:space="preserve">rates of 16.5 [15.4, 17] and 113.9 [108.3, 117] in 2011 for</w:t>
      </w:r>
      <w:r>
        <w:t xml:space="preserve"> </w:t>
      </w:r>
      <w:r>
        <w:t xml:space="preserve">incidence and prevalence, respectively, United States has</w:t>
      </w:r>
      <w:r>
        <w:t xml:space="preserve"> </w:t>
      </w:r>
      <w:r>
        <w:t xml:space="preserve">almost consistently had</w:t>
      </w:r>
      <w:r>
        <w:br/>
      </w:r>
      <w:r>
        <w:t xml:space="preserve">higher incidence and prevalence of BC compared to</w:t>
      </w:r>
      <w:r>
        <w:t xml:space="preserve"> </w:t>
      </w:r>
      <w:r>
        <w:t xml:space="preserve">competing countries between 1980 and 2021.</w:t>
      </w:r>
      <w:r>
        <w:t xml:space="preserve"> </w:t>
      </w:r>
      <w:r>
        <w:t xml:space="preserve">In contrast, DALYs, YLLs, and mortality rates</w:t>
      </w:r>
      <w:r>
        <w:t xml:space="preserve"> </w:t>
      </w:r>
      <w:r>
        <w:t xml:space="preserve">have been lower than competing countries 2000s.</w:t>
      </w:r>
      <w:r>
        <w:t xml:space="preserve"> </w:t>
      </w:r>
      <w:r>
        <w:t xml:space="preserve">The clear declining trend observable in competing countries</w:t>
      </w:r>
      <w:r>
        <w:t xml:space="preserve"> </w:t>
      </w:r>
      <w:r>
        <w:t xml:space="preserve">is absent in the trend of United States.</w:t>
      </w:r>
      <w:r>
        <w:t xml:space="preserve"> </w:t>
      </w:r>
      <w:r>
        <w:t xml:space="preserve">While these rates have been historically low in United States,</w:t>
      </w:r>
      <w:r>
        <w:t xml:space="preserve"> </w:t>
      </w:r>
      <w:r>
        <w:t xml:space="preserve">competing countries have managed to</w:t>
      </w:r>
      <w:r>
        <w:t xml:space="preserve"> </w:t>
      </w:r>
      <w:r>
        <w:t xml:space="preserve">approach to the statistics of United States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performance"/>
          <w:p>
            <w:pPr>
              <w:pStyle w:val="Compact"/>
              <w:jc w:val="center"/>
            </w:pPr>
            <w:r>
              <w:drawing>
                <wp:inline>
                  <wp:extent cx="6858000" cy="4387957"/>
                  <wp:effectExtent b="0" l="0" r="0" t="0"/>
                  <wp:docPr descr="" title="" id="38" name="Picture"/>
                  <a:graphic>
                    <a:graphicData uri="http://schemas.openxmlformats.org/drawingml/2006/picture">
                      <pic:pic>
                        <pic:nvPicPr>
                          <pic:cNvPr descr="output/figures/US%20performance%20plot/fig_B_Bladder%20cancer_Rate.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6858000" cy="43879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United States compared to high-income and high socio-demographic index countries and European Union.</w:t>
            </w:r>
          </w:p>
          <w:bookmarkEnd w:id="40"/>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more abstract but quantified version of data</w:t>
      </w:r>
      <w:r>
        <w:t xml:space="preserve"> </w:t>
      </w:r>
      <w:r>
        <w:t xml:space="preserve">in</w:t>
      </w:r>
      <w:r>
        <w:t xml:space="preserve"> </w:t>
      </w:r>
      <w:hyperlink w:anchor="fig-performance">
        <w:r>
          <w:rPr>
            <w:rStyle w:val="Hyperlink"/>
          </w:rPr>
          <w:t xml:space="preserve">Figure 1</w:t>
        </w:r>
      </w:hyperlink>
      <w:r>
        <w:t xml:space="preserve"> </w:t>
      </w:r>
      <w:r>
        <w:t xml:space="preserve">could be seen in</w:t>
      </w:r>
      <w:r>
        <w:t xml:space="preserve"> </w:t>
      </w:r>
      <w:hyperlink w:anchor="tbl-percentchange">
        <w:r>
          <w:rPr>
            <w:rStyle w:val="Hyperlink"/>
          </w:rPr>
          <w:t xml:space="preserve">Table 1</w:t>
        </w:r>
      </w:hyperlink>
      <w:r>
        <w:t xml:space="preserve"> </w:t>
      </w:r>
      <w:r>
        <w:t xml:space="preserve">which shows the percentage of age-standardized</w:t>
      </w:r>
      <w:r>
        <w:t xml:space="preserve"> </w:t>
      </w:r>
      <w:r>
        <w:t xml:space="preserve">rates changed between 1980 and 1990 for all measures and across all states.</w:t>
      </w:r>
      <w:r>
        <w:t xml:space="preserve"> </w:t>
      </w:r>
      <w:r>
        <w:t xml:space="preserve">Similar to</w:t>
      </w:r>
      <w:r>
        <w:t xml:space="preserve"> </w:t>
      </w:r>
      <w:hyperlink w:anchor="fig-performance">
        <w:r>
          <w:rPr>
            <w:rStyle w:val="Hyperlink"/>
          </w:rPr>
          <w:t xml:space="preserve">Figure 1</w:t>
        </w:r>
      </w:hyperlink>
      <w:r>
        <w:t xml:space="preserve">, the table visualizes decreased rates in</w:t>
      </w:r>
      <w:r>
        <w:t xml:space="preserve"> </w:t>
      </w:r>
      <w:r>
        <w:t xml:space="preserve">DALYs (men: 34.6% [40.3%, 29.2%]; women: 26.6% [36.2%, 17.6%], men: 30.9% [36.8%, 25.4%]; women: 24.5% [34.4%, 15.5%],</w:t>
      </w:r>
      <w:r>
        <w:t xml:space="preserve"> </w:t>
      </w:r>
      <w:r>
        <w:t xml:space="preserve">men: 30.2% [36.0%, 24.2%]; women: 19.4% [29.4%, 10.8%], and men: 11.8% [20.1%, 4.6%]; women: 12.4% [23.1%, 2.1%])</w:t>
      </w:r>
      <w:r>
        <w:t xml:space="preserve"> </w:t>
      </w:r>
      <w:r>
        <w:t xml:space="preserve">and</w:t>
      </w:r>
      <w:r>
        <w:t xml:space="preserve"> </w:t>
      </w:r>
      <w:r>
        <w:t xml:space="preserve">YLLs (men: 36.4% [41.7%, 31.4%]; women: 28.4% [37.4%, 19.9%], men: 32.6% [38.2%, 27.5%]; women: 26.2% [35.5%, 17.4%],</w:t>
      </w:r>
      <w:r>
        <w:t xml:space="preserve"> </w:t>
      </w:r>
      <w:r>
        <w:t xml:space="preserve">men: 31.9% [37.4%, 26.3%]; women: 21.3% [31.3%, 12.9%], and men: 13.3% [20.3%, 7.3%]; women: 13.9% [24.2%, 4.6%])</w:t>
      </w:r>
      <w:r>
        <w:t xml:space="preserve"> </w:t>
      </w:r>
      <w:r>
        <w:t xml:space="preserve">across high-income and high-SDI countries, European Union,</w:t>
      </w:r>
      <w:r>
        <w:t xml:space="preserve"> </w:t>
      </w:r>
      <w:r>
        <w:t xml:space="preserve">and United States, respectively.</w:t>
      </w:r>
      <w:r>
        <w:t xml:space="preserve"> </w:t>
      </w:r>
      <w:r>
        <w:t xml:space="preserve">On the other hand, while high-income and high-SDI countries, and</w:t>
      </w:r>
      <w:r>
        <w:t xml:space="preserve"> </w:t>
      </w:r>
      <w:r>
        <w:t xml:space="preserve">European Union managed to significantly</w:t>
      </w:r>
      <w:r>
        <w:t xml:space="preserve"> </w:t>
      </w:r>
      <w:r>
        <w:t xml:space="preserve">decrease their statistics in mortality</w:t>
      </w:r>
      <w:r>
        <w:t xml:space="preserve"> </w:t>
      </w:r>
      <w:r>
        <w:t xml:space="preserve">(men: 30.7% [37.8%, 23.8%]; women: 26.2% [38.8%, 14.0%], men: 27.3% [34.9%, 20.4%]; women: 23.3% [36.5%, 11.0%], and</w:t>
      </w:r>
      <w:r>
        <w:t xml:space="preserve"> </w:t>
      </w:r>
      <w:r>
        <w:t xml:space="preserve">men: 26.6% [33.9%, 19.5%]; women: 21.3% [33.8%, 10.1%],</w:t>
      </w:r>
      <w:r>
        <w:t xml:space="preserve"> </w:t>
      </w:r>
      <w:r>
        <w:t xml:space="preserve">respectively) and</w:t>
      </w:r>
      <w:r>
        <w:t xml:space="preserve"> </w:t>
      </w:r>
      <w:r>
        <w:t xml:space="preserve">male incidence</w:t>
      </w:r>
      <w:r>
        <w:t xml:space="preserve"> </w:t>
      </w:r>
      <w:r>
        <w:t xml:space="preserve">(15.3% [22.0%, 9.4%], 11.8% [18.5%, 5.9%],</w:t>
      </w:r>
      <w:r>
        <w:t xml:space="preserve"> </w:t>
      </w:r>
      <w:r>
        <w:t xml:space="preserve">10.0% [17.6%, 3.2%]),</w:t>
      </w:r>
      <w:r>
        <w:t xml:space="preserve"> </w:t>
      </w:r>
      <w:r>
        <w:t xml:space="preserve">United States shows insignificant changes</w:t>
      </w:r>
      <w:r>
        <w:t xml:space="preserve"> </w:t>
      </w:r>
      <w:r>
        <w:t xml:space="preserve">(0.4% [7.9%, 5.7%]).</w:t>
      </w:r>
    </w:p>
    <w:tbl>
      <w:tblPr>
        <w:tblStyle w:val="Table"/>
        <w:tblW w:type="pct" w:w="5000"/>
        <w:tblLayout w:type="fixed"/>
        <w:tblLook w:firstRow="0" w:lastRow="0" w:firstColumn="0" w:lastColumn="0" w:noHBand="0" w:noVBand="0" w:val="0000"/>
      </w:tblPr>
      <w:tblGrid>
        <w:gridCol w:w="7920"/>
      </w:tblGrid>
      <w:tr>
        <w:tc>
          <w:tcPr/>
          <w:bookmarkStart w:id="44" w:name="tbl-percentchange"/>
          <w:p>
            <w:pPr>
              <w:jc w:val="center"/>
            </w:pPr>
            <w:pPr>
              <w:jc w:val="left"/>
              <w:spacing w:before="200"/>
              <w:pStyle w:val="ImageCaption"/>
            </w:pPr>
            <w:r>
              <w:t xml:space="preserve">Table 1: Percentage change of age-standardized rates between 1980 and 2021 across the United States, compared to other competing countries. Bars and error lines indicate the average percentage change and its 95% confidence interval, respectively. Green, yellow, and red indicate significant decrease, insignificant change, and significant increase in statistics, respectively.</w:t>
            </w:r>
          </w:p>
          <w:p>
            <w:pPr>
              <w:pStyle w:val="Compact"/>
              <w:jc w:val="center"/>
            </w:pPr>
            <w:r>
              <w:drawing>
                <wp:inline>
                  <wp:extent cx="6858000" cy="18522762"/>
                  <wp:effectExtent b="0" l="0" r="0" t="0"/>
                  <wp:docPr descr="" title="" id="42" name="Picture"/>
                  <a:graphic>
                    <a:graphicData uri="http://schemas.openxmlformats.org/drawingml/2006/picture">
                      <pic:pic>
                        <pic:nvPicPr>
                          <pic:cNvPr descr="output/tables/Percent%20change%20since%201980%20in%20Bladder%20cancer%20measures.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6858000" cy="18522762"/>
                          </a:xfrm>
                          <a:prstGeom prst="rect">
                            <a:avLst/>
                          </a:prstGeom>
                          <a:noFill/>
                          <a:ln w="9525">
                            <a:noFill/>
                            <a:headEnd/>
                            <a:tailEnd/>
                          </a:ln>
                        </pic:spPr>
                      </pic:pic>
                    </a:graphicData>
                  </a:graphic>
                </wp:inline>
              </w:drawing>
            </w:r>
          </w:p>
          <w:bookmarkEnd w:id="44"/>
        </w:tc>
      </w:tr>
    </w:tbl>
    <w:p>
      <w:pPr>
        <w:pStyle w:val="SourceCode"/>
      </w:pPr>
      <w:r>
        <w:rPr>
          <w:rStyle w:val="VerbatimChar"/>
        </w:rPr>
        <w:t xml:space="preserve">Abbreviations: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r>
        <w:t xml:space="preserve">As demonstrated in</w:t>
      </w:r>
      <w:r>
        <w:t xml:space="preserve"> </w:t>
      </w:r>
      <w:hyperlink w:anchor="fig-pyramid">
        <w:r>
          <w:rPr>
            <w:rStyle w:val="Hyperlink"/>
          </w:rPr>
          <w:t xml:space="preserve">Figure 2</w:t>
        </w:r>
      </w:hyperlink>
      <w:r>
        <w:t xml:space="preserve">, in 2021,</w:t>
      </w:r>
      <w:r>
        <w:t xml:space="preserve"> </w:t>
      </w:r>
      <w:r>
        <w:t xml:space="preserve">all burden measures were</w:t>
      </w:r>
      <w:r>
        <w:t xml:space="preserve"> </w:t>
      </w:r>
      <w:r>
        <w:t xml:space="preserve">higher in men in all age groups.</w:t>
      </w:r>
      <w:r>
        <w:t xml:space="preserve"> </w:t>
      </w:r>
      <w:r>
        <w:t xml:space="preserve">Highest rates of each burden measure among the</w:t>
      </w:r>
      <w:r>
        <w:t xml:space="preserve"> </w:t>
      </w:r>
      <w:r>
        <w:t xml:space="preserve">age groups</w:t>
      </w:r>
      <w:r>
        <w:t xml:space="preserve"> </w:t>
      </w:r>
      <w:r>
        <w:t xml:space="preserve">are as follows:</w:t>
      </w:r>
    </w:p>
    <w:p>
      <w:pPr>
        <w:numPr>
          <w:ilvl w:val="0"/>
          <w:numId w:val="1006"/>
        </w:numPr>
      </w:pPr>
      <w:r>
        <w:t xml:space="preserve">YLDs: 143.8 [108.0, 184.6] in men and 40.0 [28.7, 52.0] in women in 80+ years age group.</w:t>
      </w:r>
    </w:p>
    <w:p>
      <w:pPr>
        <w:numPr>
          <w:ilvl w:val="0"/>
          <w:numId w:val="1006"/>
        </w:numPr>
      </w:pPr>
      <w:r>
        <w:t xml:space="preserve">Prevalence: 1,635.3 [1,526.9, 1,709.5] in men and 469.3 [415.0, 502.5] in women in 75-79 years age group.</w:t>
      </w:r>
    </w:p>
    <w:p>
      <w:pPr>
        <w:numPr>
          <w:ilvl w:val="0"/>
          <w:numId w:val="1006"/>
        </w:numPr>
      </w:pPr>
      <w:r>
        <w:t xml:space="preserve">Incidence: 325.0 [274.1, 349.7] in men and 87.8 [67.6, 98.3] in women in 80+ years age group.</w:t>
      </w:r>
    </w:p>
    <w:p>
      <w:pPr>
        <w:numPr>
          <w:ilvl w:val="0"/>
          <w:numId w:val="1006"/>
        </w:numPr>
      </w:pPr>
      <w:r>
        <w:t xml:space="preserve">DALYs: 1,694.0 [1,443.1, 1,829.1] in men and 480.8 [372.3, 541.0] in women in 80+ years age group.</w:t>
      </w:r>
    </w:p>
    <w:p>
      <w:pPr>
        <w:numPr>
          <w:ilvl w:val="0"/>
          <w:numId w:val="1006"/>
        </w:numPr>
      </w:pPr>
      <w:r>
        <w:t xml:space="preserve">Deaths: 149.2 [125.3, 160.9] in men and 43.8 [33.8, 49.2] in women in 80+ years age group.</w:t>
      </w:r>
    </w:p>
    <w:p>
      <w:pPr>
        <w:numPr>
          <w:ilvl w:val="0"/>
          <w:numId w:val="1006"/>
        </w:numPr>
      </w:pPr>
      <w:r>
        <w:t xml:space="preserve">YLLs: 1,551.6 [1,310.0, 1,669.7] in men and 441.6 [361.3, 483.3] in women in 80+ years age group.</w:t>
      </w:r>
    </w:p>
    <w:bookmarkStart w:id="69" w:name="fig-pyramid"/>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8" w:name="fig-pyramid-prevalence"/>
                <w:p>
                  <w:pPr>
                    <w:pStyle w:val="Compact"/>
                    <w:jc w:val="center"/>
                    <w:jc w:val="left"/>
                  </w:pPr>
                  <w:r>
                    <w:drawing>
                      <wp:inline>
                        <wp:extent cx="1975104" cy="1975104"/>
                        <wp:effectExtent b="0" l="0" r="0" t="0"/>
                        <wp:docPr descr="" title="" id="46" name="Picture"/>
                        <a:graphic>
                          <a:graphicData uri="http://schemas.openxmlformats.org/drawingml/2006/picture">
                            <pic:pic>
                              <pic:nvPicPr>
                                <pic:cNvPr descr="output/figures/Population%20pyramid%20-%202021/fig_C_United%20States%20of%20America_Bladder%20cancer_Prevalence_Rate.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48"/>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2" w:name="fig-pyramid-incidence"/>
                <w:p>
                  <w:pPr>
                    <w:pStyle w:val="Compact"/>
                    <w:jc w:val="center"/>
                    <w:jc w:val="left"/>
                  </w:pPr>
                  <w:r>
                    <w:drawing>
                      <wp:inline>
                        <wp:extent cx="1975104" cy="1975104"/>
                        <wp:effectExtent b="0" l="0" r="0" t="0"/>
                        <wp:docPr descr="" title="" id="50" name="Picture"/>
                        <a:graphic>
                          <a:graphicData uri="http://schemas.openxmlformats.org/drawingml/2006/picture">
                            <pic:pic>
                              <pic:nvPicPr>
                                <pic:cNvPr descr="output/figures/Population%20pyramid%20-%202021/fig_C_United%20States%20of%20America_Bladder%20cancer_Incidence_Rate.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5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6" w:name="fig-pyramid-dalys"/>
                <w:p>
                  <w:pPr>
                    <w:pStyle w:val="Compact"/>
                    <w:jc w:val="center"/>
                    <w:jc w:val="left"/>
                  </w:pPr>
                  <w:r>
                    <w:drawing>
                      <wp:inline>
                        <wp:extent cx="1975104" cy="1975104"/>
                        <wp:effectExtent b="0" l="0" r="0" t="0"/>
                        <wp:docPr descr="" title="" id="54" name="Picture"/>
                        <a:graphic>
                          <a:graphicData uri="http://schemas.openxmlformats.org/drawingml/2006/picture">
                            <pic:pic>
                              <pic:nvPicPr>
                                <pic:cNvPr descr="output/figures/Population%20pyramid%20-%202021/fig_C_United%20States%20of%20America_Bladder%20cancer_DALYs_Rate.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 Year</w:t>
                  </w:r>
                </w:p>
                <w:bookmarkEnd w:id="5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60" w:name="fig-pyramid-ylds"/>
                <w:p>
                  <w:pPr>
                    <w:pStyle w:val="Compact"/>
                    <w:jc w:val="center"/>
                    <w:jc w:val="left"/>
                  </w:pPr>
                  <w:r>
                    <w:drawing>
                      <wp:inline>
                        <wp:extent cx="1975104" cy="1975104"/>
                        <wp:effectExtent b="0" l="0" r="0" t="0"/>
                        <wp:docPr descr="" title="" id="58" name="Picture"/>
                        <a:graphic>
                          <a:graphicData uri="http://schemas.openxmlformats.org/drawingml/2006/picture">
                            <pic:pic>
                              <pic:nvPicPr>
                                <pic:cNvPr descr="output/figures/Population%20pyramid%20-%202021/fig_C_United%20States%20of%20America_Bladder%20cancer_YLDs_Rate.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 Disability</w:t>
                  </w:r>
                </w:p>
                <w:bookmarkEnd w:id="60"/>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4" w:name="fig-pyramid-ylls"/>
                <w:p>
                  <w:pPr>
                    <w:pStyle w:val="Compact"/>
                    <w:jc w:val="center"/>
                    <w:jc w:val="left"/>
                  </w:pPr>
                  <w:r>
                    <w:drawing>
                      <wp:inline>
                        <wp:extent cx="1975104" cy="1975104"/>
                        <wp:effectExtent b="0" l="0" r="0" t="0"/>
                        <wp:docPr descr="" title="" id="62" name="Picture"/>
                        <a:graphic>
                          <a:graphicData uri="http://schemas.openxmlformats.org/drawingml/2006/picture">
                            <pic:pic>
                              <pic:nvPicPr>
                                <pic:cNvPr descr="output/figures/Population%20pyramid%20-%202021/fig_C_United%20States%20of%20America_Bladder%20cancer_YLLs_Rate.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 Lost</w:t>
                  </w:r>
                </w:p>
                <w:bookmarkEnd w:id="6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8" w:name="fig-pyramid-deaths"/>
                <w:p>
                  <w:pPr>
                    <w:pStyle w:val="Compact"/>
                    <w:jc w:val="center"/>
                    <w:jc w:val="left"/>
                  </w:pPr>
                  <w:r>
                    <w:drawing>
                      <wp:inline>
                        <wp:extent cx="1975104" cy="1975104"/>
                        <wp:effectExtent b="0" l="0" r="0" t="0"/>
                        <wp:docPr descr="" title="" id="66" name="Picture"/>
                        <a:graphic>
                          <a:graphicData uri="http://schemas.openxmlformats.org/drawingml/2006/picture">
                            <pic:pic>
                              <pic:nvPicPr>
                                <pic:cNvPr descr="output/figures/Population%20pyramid%20-%202021/fig_C_United%20States%20of%20America_Bladder%20cancer_Deaths_Rate.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68"/>
              </w:tc>
            </w:tr>
          </w:tbl>
          <w:p/>
        </w:tc>
      </w:tr>
    </w:tbl>
    <w:p>
      <w:pPr>
        <w:pStyle w:val="BodyText"/>
      </w:pPr>
      <w:pPr>
        <w:spacing w:before="200"/>
        <w:pStyle w:val="ImageCaption"/>
      </w:pPr>
      <w:r>
        <w:t xml:space="preserve">Figure 2: Population pyramids visualizing age-gender distribution of</w:t>
      </w:r>
      <w:r>
        <w:t xml:space="preserve"> </w:t>
      </w:r>
      <w:r>
        <w:t xml:space="preserve">bladder cancer burden rates in United States.</w:t>
      </w:r>
    </w:p>
    <w:bookmarkEnd w:id="69"/>
    <w:p>
      <w:pPr>
        <w:pStyle w:val="BodyText"/>
      </w:pPr>
      <w:r>
        <w:t xml:space="preserve">Similar population pyramids visualizing each state’s</w:t>
      </w:r>
      <w:r>
        <w:t xml:space="preserve"> </w:t>
      </w:r>
      <w:r>
        <w:t xml:space="preserve">burden rates across age groups in 2021</w:t>
      </w:r>
      <w:r>
        <w:t xml:space="preserve"> </w:t>
      </w:r>
      <w:r>
        <w:t xml:space="preserve">are available</w:t>
      </w:r>
      <w:r>
        <w:t xml:space="preserve"> </w:t>
      </w:r>
      <w:r>
        <w:t xml:space="preserve">from</w:t>
      </w:r>
      <w:r>
        <w:t xml:space="preserve"> </w:t>
      </w:r>
      <w:hyperlink w:anchor="sup-pyramid2021">
        <w:r>
          <w:rPr>
            <w:rStyle w:val="Hyperlink"/>
          </w:rPr>
          <w:t xml:space="preserve">Supporting Files</w:t>
        </w:r>
      </w:hyperlink>
      <w:r>
        <w:t xml:space="preserve"> </w:t>
      </w:r>
      <w:r>
        <w:t xml:space="preserve">and</w:t>
      </w:r>
      <w:r>
        <w:t xml:space="preserve"> </w:t>
      </w:r>
      <w:r>
        <w:t xml:space="preserve">the study’s</w:t>
      </w:r>
      <w:r>
        <w:t xml:space="preserve"> </w:t>
      </w:r>
      <w:hyperlink r:id="rId70">
        <w:r>
          <w:rPr>
            <w:rStyle w:val="Hyperlink"/>
          </w:rPr>
          <w:t xml:space="preserve">GitHub repository</w:t>
        </w:r>
      </w:hyperlink>
      <w:r>
        <w:t xml:space="preserve">.</w:t>
      </w:r>
      <w:r>
        <w:t xml:space="preserve"> </w:t>
      </w:r>
      <w:r>
        <w:t xml:space="preserve">In addition, population pyramid plots animated based on year of</w:t>
      </w:r>
      <w:r>
        <w:t xml:space="preserve"> </w:t>
      </w:r>
      <w:r>
        <w:t xml:space="preserve">report are available for each each state and the country</w:t>
      </w:r>
      <w:r>
        <w:t xml:space="preserve"> </w:t>
      </w:r>
      <w:r>
        <w:t xml:space="preserve">from</w:t>
      </w:r>
      <w:r>
        <w:t xml:space="preserve"> </w:t>
      </w:r>
      <w:hyperlink w:anchor="sup-pyramidgif">
        <w:r>
          <w:rPr>
            <w:rStyle w:val="Hyperlink"/>
          </w:rPr>
          <w:t xml:space="preserve">Supporting Files</w:t>
        </w:r>
      </w:hyperlink>
      <w:r>
        <w:t xml:space="preserve"> </w:t>
      </w:r>
      <w:r>
        <w:t xml:space="preserve">and</w:t>
      </w:r>
      <w:r>
        <w:t xml:space="preserve"> </w:t>
      </w:r>
      <w:r>
        <w:t xml:space="preserve">the study’s</w:t>
      </w:r>
      <w:r>
        <w:t xml:space="preserve"> </w:t>
      </w:r>
      <w:hyperlink r:id="rId71">
        <w:r>
          <w:rPr>
            <w:rStyle w:val="Hyperlink"/>
          </w:rPr>
          <w:t xml:space="preserve">GitHub repository</w:t>
        </w:r>
      </w:hyperlink>
      <w:r>
        <w:t xml:space="preserve">.</w:t>
      </w:r>
    </w:p>
    <w:p>
      <w:pPr>
        <w:pStyle w:val="BodyText"/>
      </w:pPr>
      <w:hyperlink w:anchor="fig-apc">
        <w:r>
          <w:rPr>
            <w:rStyle w:val="Hyperlink"/>
          </w:rPr>
          <w:t xml:space="preserve">Figure 3</w:t>
        </w:r>
      </w:hyperlink>
      <w:r>
        <w:t xml:space="preserve">, similar to</w:t>
      </w:r>
      <w:r>
        <w:t xml:space="preserve"> </w:t>
      </w:r>
      <w:hyperlink w:anchor="fig-pyramid">
        <w:r>
          <w:rPr>
            <w:rStyle w:val="Hyperlink"/>
          </w:rPr>
          <w:t xml:space="preserve">Figure 2</w:t>
        </w:r>
      </w:hyperlink>
      <w:r>
        <w:t xml:space="preserve">, presents the</w:t>
      </w:r>
      <w:r>
        <w:t xml:space="preserve"> </w:t>
      </w:r>
      <w:r>
        <w:t xml:space="preserve">burden rates for each age group. However,</w:t>
      </w:r>
      <w:r>
        <w:t xml:space="preserve"> </w:t>
      </w:r>
      <w:r>
        <w:t xml:space="preserve">it adds the element of time to the visualization.</w:t>
      </w:r>
      <w:r>
        <w:t xml:space="preserve"> </w:t>
      </w:r>
      <w:r>
        <w:t xml:space="preserve">Similar plots are available for each state</w:t>
      </w:r>
      <w:r>
        <w:t xml:space="preserve"> </w:t>
      </w:r>
      <w:r>
        <w:t xml:space="preserve">from</w:t>
      </w:r>
      <w:r>
        <w:t xml:space="preserve"> </w:t>
      </w:r>
      <w:hyperlink w:anchor="sup-apc">
        <w:r>
          <w:rPr>
            <w:rStyle w:val="Hyperlink"/>
          </w:rPr>
          <w:t xml:space="preserve">Supporting Files</w:t>
        </w:r>
      </w:hyperlink>
      <w:r>
        <w:t xml:space="preserve"> </w:t>
      </w:r>
      <w:r>
        <w:t xml:space="preserve">and</w:t>
      </w:r>
      <w:r>
        <w:t xml:space="preserve"> </w:t>
      </w:r>
      <w:r>
        <w:t xml:space="preserve">the study’s</w:t>
      </w:r>
      <w:r>
        <w:t xml:space="preserve"> </w:t>
      </w:r>
      <w:hyperlink r:id="rId72">
        <w:r>
          <w:rPr>
            <w:rStyle w:val="Hyperlink"/>
          </w:rPr>
          <w:t xml:space="preserve">GitHub page</w:t>
        </w:r>
      </w:hyperlink>
      <w:r>
        <w:t xml:space="preserve">.</w:t>
      </w:r>
    </w:p>
    <w:bookmarkStart w:id="97" w:name="fig-apc"/>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6" w:name="fig-apc-prevalence"/>
                <w:p>
                  <w:pPr>
                    <w:pStyle w:val="Compact"/>
                    <w:jc w:val="center"/>
                    <w:jc w:val="left"/>
                  </w:pPr>
                  <w:r>
                    <w:drawing>
                      <wp:inline>
                        <wp:extent cx="2971800" cy="1485113"/>
                        <wp:effectExtent b="0" l="0" r="0" t="0"/>
                        <wp:docPr descr="" title="" id="74" name="Picture"/>
                        <a:graphic>
                          <a:graphicData uri="http://schemas.openxmlformats.org/drawingml/2006/picture">
                            <pic:pic>
                              <pic:nvPicPr>
                                <pic:cNvPr descr="output/figures/APC%20plot%201/fig_F_United%20States%20of%20America_Prevalence_Bladder%20Cancer_Rate.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7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0" w:name="fig-apc-incidence"/>
                <w:p>
                  <w:pPr>
                    <w:pStyle w:val="Compact"/>
                    <w:jc w:val="center"/>
                    <w:jc w:val="left"/>
                  </w:pPr>
                  <w:r>
                    <w:drawing>
                      <wp:inline>
                        <wp:extent cx="2971800" cy="1485113"/>
                        <wp:effectExtent b="0" l="0" r="0" t="0"/>
                        <wp:docPr descr="" title="" id="78" name="Picture"/>
                        <a:graphic>
                          <a:graphicData uri="http://schemas.openxmlformats.org/drawingml/2006/picture">
                            <pic:pic>
                              <pic:nvPicPr>
                                <pic:cNvPr descr="output/figures/APC%20plot%201/fig_F_United%20States%20of%20America_Incidence_Bladder%20Cancer_Rate.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8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4" w:name="fig-apc-dalys"/>
                <w:p>
                  <w:pPr>
                    <w:pStyle w:val="Compact"/>
                    <w:jc w:val="center"/>
                    <w:jc w:val="left"/>
                  </w:pPr>
                  <w:r>
                    <w:drawing>
                      <wp:inline>
                        <wp:extent cx="2971800" cy="1485113"/>
                        <wp:effectExtent b="0" l="0" r="0" t="0"/>
                        <wp:docPr descr="" title="" id="82" name="Picture"/>
                        <a:graphic>
                          <a:graphicData uri="http://schemas.openxmlformats.org/drawingml/2006/picture">
                            <pic:pic>
                              <pic:nvPicPr>
                                <pic:cNvPr descr="output/figures/APC%20plot%201/fig_F_United%20States%20of%20America_DALYs_Bladder%20Cancer_Rate.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 Year</w:t>
                  </w:r>
                </w:p>
                <w:bookmarkEnd w:id="8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apc-ylds"/>
                <w:p>
                  <w:pPr>
                    <w:pStyle w:val="Compact"/>
                    <w:jc w:val="center"/>
                    <w:jc w:val="left"/>
                  </w:pPr>
                  <w:r>
                    <w:drawing>
                      <wp:inline>
                        <wp:extent cx="2971800" cy="1485113"/>
                        <wp:effectExtent b="0" l="0" r="0" t="0"/>
                        <wp:docPr descr="" title="" id="86" name="Picture"/>
                        <a:graphic>
                          <a:graphicData uri="http://schemas.openxmlformats.org/drawingml/2006/picture">
                            <pic:pic>
                              <pic:nvPicPr>
                                <pic:cNvPr descr="output/figures/APC%20plot%201/fig_F_United%20States%20of%20America_YLDs_Bladder%20Cancer_Rate.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 Disability</w:t>
                  </w:r>
                </w:p>
                <w:bookmarkEnd w:id="8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2" w:name="fig-apc-ylls"/>
                <w:p>
                  <w:pPr>
                    <w:pStyle w:val="Compact"/>
                    <w:jc w:val="center"/>
                    <w:jc w:val="left"/>
                  </w:pPr>
                  <w:r>
                    <w:drawing>
                      <wp:inline>
                        <wp:extent cx="2971800" cy="1485113"/>
                        <wp:effectExtent b="0" l="0" r="0" t="0"/>
                        <wp:docPr descr="" title="" id="90" name="Picture"/>
                        <a:graphic>
                          <a:graphicData uri="http://schemas.openxmlformats.org/drawingml/2006/picture">
                            <pic:pic>
                              <pic:nvPicPr>
                                <pic:cNvPr descr="output/figures/APC%20plot%201/fig_F_United%20States%20of%20America_YLLs_Bladder%20Cancer_Rate.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 Lost</w:t>
                  </w:r>
                </w:p>
                <w:bookmarkEnd w:id="92"/>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6" w:name="fig-apc-deaths"/>
                <w:p>
                  <w:pPr>
                    <w:pStyle w:val="Compact"/>
                    <w:jc w:val="center"/>
                    <w:jc w:val="left"/>
                  </w:pPr>
                  <w:r>
                    <w:drawing>
                      <wp:inline>
                        <wp:extent cx="2971800" cy="1485113"/>
                        <wp:effectExtent b="0" l="0" r="0" t="0"/>
                        <wp:docPr descr="" title="" id="94" name="Picture"/>
                        <a:graphic>
                          <a:graphicData uri="http://schemas.openxmlformats.org/drawingml/2006/picture">
                            <pic:pic>
                              <pic:nvPicPr>
                                <pic:cNvPr descr="output/figures/APC%20plot%201/fig_F_United%20States%20of%20America_Deaths_Bladder%20Cancer_Rate.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96"/>
              </w:tc>
            </w:tr>
          </w:tbl>
          <w:p/>
        </w:tc>
      </w:tr>
    </w:tbl>
    <w:p>
      <w:pPr>
        <w:pStyle w:val="BodyText"/>
      </w:pPr>
      <w:pPr>
        <w:spacing w:before="200"/>
        <w:pStyle w:val="ImageCaption"/>
      </w:pPr>
      <w:r>
        <w:t xml:space="preserve">Figure 3: Age-gender distribution of</w:t>
      </w:r>
      <w:r>
        <w:t xml:space="preserve"> </w:t>
      </w:r>
      <w:r>
        <w:t xml:space="preserve">bladder cancer burden rates across decades in United States.</w:t>
      </w:r>
    </w:p>
    <w:bookmarkEnd w:id="97"/>
    <w:bookmarkEnd w:id="98"/>
    <w:bookmarkStart w:id="104" w:name="X2e47ef4ad7387ecf0341daa3db41a3dcb2db8bc"/>
    <w:p>
      <w:pPr>
        <w:pStyle w:val="Heading2"/>
      </w:pPr>
      <w:r>
        <w:t xml:space="preserve">4.2 Bladder Cancer Burden Across the United States</w:t>
      </w:r>
    </w:p>
    <w:p>
      <w:pPr>
        <w:pStyle w:val="FirstParagraph"/>
      </w:pPr>
      <w:r>
        <w:t xml:space="preserve">As shown in</w:t>
      </w:r>
      <w:r>
        <w:t xml:space="preserve"> </w:t>
      </w:r>
      <w:hyperlink w:anchor="tbl-percentchange">
        <w:r>
          <w:rPr>
            <w:rStyle w:val="Hyperlink"/>
          </w:rPr>
          <w:t xml:space="preserve">Table 1</w:t>
        </w:r>
      </w:hyperlink>
      <w:r>
        <w:t xml:space="preserve">, while some states such as New York</w:t>
      </w:r>
      <w:r>
        <w:t xml:space="preserve"> </w:t>
      </w:r>
      <w:r>
        <w:t xml:space="preserve">(YLLs: 33.4% [48.8%, 16.7%] and 34.9% [50.7%, 18.4%]</w:t>
      </w:r>
      <w:r>
        <w:t xml:space="preserve"> </w:t>
      </w:r>
      <w:r>
        <w:t xml:space="preserve">in men and women, respectively; DALYs: 26.2% [43.1%, 8.1%]</w:t>
      </w:r>
      <w:r>
        <w:t xml:space="preserve"> </w:t>
      </w:r>
      <w:r>
        <w:t xml:space="preserve">and 31.8% [49.4%, 13.0%] in men and women, respectively;</w:t>
      </w:r>
      <w:r>
        <w:t xml:space="preserve"> </w:t>
      </w:r>
      <w:r>
        <w:t xml:space="preserve">mortality: 31.5% [47.4%, 14.7%] in women),</w:t>
      </w:r>
      <w:r>
        <w:t xml:space="preserve"> </w:t>
      </w:r>
      <w:r>
        <w:t xml:space="preserve">with some of the highest change percentages among the states,</w:t>
      </w:r>
      <w:r>
        <w:t xml:space="preserve"> </w:t>
      </w:r>
      <w:r>
        <w:t xml:space="preserve">have managed to decrease BC burden statistics, most of the states</w:t>
      </w:r>
      <w:r>
        <w:t xml:space="preserve"> </w:t>
      </w:r>
      <w:r>
        <w:t xml:space="preserve">show no significant change. The only state that has observed</w:t>
      </w:r>
      <w:r>
        <w:t xml:space="preserve"> </w:t>
      </w:r>
      <w:r>
        <w:t xml:space="preserve">increased burden is New Mexico, which reports an increased</w:t>
      </w:r>
      <w:r>
        <w:t xml:space="preserve"> </w:t>
      </w:r>
      <w:r>
        <w:t xml:space="preserve">BC prevalence by 30.2% [3.2%, 62.6%] in men.</w:t>
      </w:r>
      <w:r>
        <w:t xml:space="preserve"> </w:t>
      </w:r>
      <w:r>
        <w:t xml:space="preserve">State-specific, gender-stratified historical trends in</w:t>
      </w:r>
      <w:r>
        <w:t xml:space="preserve"> </w:t>
      </w:r>
      <w:r>
        <w:t xml:space="preserve">ASIR are visualized in</w:t>
      </w:r>
      <w:r>
        <w:t xml:space="preserve"> </w:t>
      </w:r>
      <w:hyperlink w:anchor="fig-geofacet">
        <w:r>
          <w:rPr>
            <w:rStyle w:val="Hyperlink"/>
          </w:rPr>
          <w:t xml:space="preserve">Figure 4</w:t>
        </w:r>
      </w:hyperlink>
      <w:r>
        <w:t xml:space="preserve">.</w:t>
      </w:r>
      <w:r>
        <w:t xml:space="preserve"> </w:t>
      </w:r>
      <w:r>
        <w:t xml:space="preserve">Similar graphs for age-standardized rates of</w:t>
      </w:r>
      <w:r>
        <w:t xml:space="preserve"> </w:t>
      </w:r>
      <w:r>
        <w:t xml:space="preserve">prevalence,</w:t>
      </w:r>
      <w:r>
        <w:t xml:space="preserve"> </w:t>
      </w:r>
      <w:r>
        <w:t xml:space="preserve">mortality,</w:t>
      </w:r>
      <w:r>
        <w:t xml:space="preserve"> </w:t>
      </w:r>
      <w:r>
        <w:t xml:space="preserve">DALYs,</w:t>
      </w:r>
      <w:r>
        <w:t xml:space="preserve"> </w:t>
      </w:r>
      <w:r>
        <w:t xml:space="preserve">YLLs,</w:t>
      </w:r>
      <w:r>
        <w:t xml:space="preserve"> </w:t>
      </w:r>
      <w:r>
        <w:t xml:space="preserve">and YLDs</w:t>
      </w:r>
      <w:r>
        <w:t xml:space="preserve"> </w:t>
      </w:r>
      <w:r>
        <w:t xml:space="preserve">are available from</w:t>
      </w:r>
      <w:r>
        <w:t xml:space="preserve"> </w:t>
      </w:r>
      <w:hyperlink w:anchor="sup-geofacet">
        <w:r>
          <w:rPr>
            <w:rStyle w:val="Hyperlink"/>
          </w:rPr>
          <w:t xml:space="preserve">Supporting Files</w:t>
        </w:r>
      </w:hyperlink>
      <w:r>
        <w:t xml:space="preserve"> </w:t>
      </w:r>
      <w:r>
        <w:t xml:space="preserve">and</w:t>
      </w:r>
      <w:r>
        <w:t xml:space="preserve"> </w:t>
      </w:r>
      <w:r>
        <w:t xml:space="preserve">the study’s</w:t>
      </w:r>
      <w:r>
        <w:t xml:space="preserve"> </w:t>
      </w:r>
      <w:hyperlink r:id="rId99">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geofacet"/>
          <w:p>
            <w:pPr>
              <w:pStyle w:val="Compact"/>
              <w:jc w:val="center"/>
            </w:pPr>
            <w:r>
              <w:drawing>
                <wp:inline>
                  <wp:extent cx="6858000" cy="3581243"/>
                  <wp:effectExtent b="0" l="0" r="0" t="0"/>
                  <wp:docPr descr="" title="" id="101" name="Picture"/>
                  <a:graphic>
                    <a:graphicData uri="http://schemas.openxmlformats.org/drawingml/2006/picture">
                      <pic:pic>
                        <pic:nvPicPr>
                          <pic:cNvPr descr="output/figures/Geofacet%20plot/fig_A_Incidence_Bladder%20cancer_Rate.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6858000" cy="35812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 across the states in men and women. States are positioned to nearly resemble their geographical location.</w:t>
            </w:r>
          </w:p>
          <w:bookmarkEnd w:id="103"/>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bookmarkEnd w:id="104"/>
    <w:bookmarkEnd w:id="105"/>
    <w:bookmarkStart w:id="108" w:name="discussion"/>
    <w:p>
      <w:pPr>
        <w:pStyle w:val="Heading1"/>
      </w:pPr>
      <w:r>
        <w:t xml:space="preserve">5. Discussion</w:t>
      </w:r>
    </w:p>
    <w:p>
      <w:pPr>
        <w:pStyle w:val="FirstParagraph"/>
      </w:pPr>
      <w:r>
        <w:t xml:space="preserve">This study used GBD 2021 data to analyze trends in BC incidence, mortality, YLLs, YLDs, and DALYs in</w:t>
      </w:r>
      <w:r>
        <w:t xml:space="preserve"> </w:t>
      </w:r>
      <w:r>
        <w:t xml:space="preserve">the United States from 1980 to 2021. Nationally, the ASIR of BC has gradually declined since the</w:t>
      </w:r>
      <w:r>
        <w:t xml:space="preserve"> </w:t>
      </w:r>
      <w:r>
        <w:t xml:space="preserve">late 2010s, accompanied by a less steep decrease in the ASMR.</w:t>
      </w:r>
      <w:r>
        <w:t xml:space="preserve"> </w:t>
      </w:r>
      <w:r>
        <w:t xml:space="preserve">These improvements likely reflect</w:t>
      </w:r>
      <w:r>
        <w:t xml:space="preserve"> </w:t>
      </w:r>
      <w:r>
        <w:t xml:space="preserve">advancements in early detection strategies, enhanced treatment modalities, and broader access to</w:t>
      </w:r>
      <w:r>
        <w:t xml:space="preserve"> </w:t>
      </w:r>
      <w:r>
        <w:t xml:space="preserve">quality healthcare services across the nation.</w:t>
      </w:r>
      <w:r>
        <w:t xml:space="preserve"> </w:t>
      </w:r>
      <w:r>
        <w:t xml:space="preserve">However, these favorable national trends mask</w:t>
      </w:r>
      <w:r>
        <w:t xml:space="preserve"> </w:t>
      </w:r>
      <w:r>
        <w:t xml:space="preserve">important state-level disparities. While many Northeastern states have experienced sharp declines in</w:t>
      </w:r>
      <w:r>
        <w:t xml:space="preserve"> </w:t>
      </w:r>
      <w:r>
        <w:t xml:space="preserve">both incidence and mortality, especially among men, certain states such as West Virginia,</w:t>
      </w:r>
      <w:r>
        <w:t xml:space="preserve"> </w:t>
      </w:r>
      <w:r>
        <w:t xml:space="preserve">Kentucky, Delaware, and Nevada have shown rising or plateauing ASIRs and ASMRs.</w:t>
      </w:r>
      <w:r>
        <w:t xml:space="preserve"> </w:t>
      </w:r>
      <w:r>
        <w:t xml:space="preserve">Among the states with notable trends, some have persistently stood out in terms of exceptionally high or low rates.</w:t>
      </w:r>
      <w:r>
        <w:t xml:space="preserve"> </w:t>
      </w:r>
      <w:r>
        <w:t xml:space="preserve">Maine consistently exhibited the highest ASIR across the study period, with a declining trend in</w:t>
      </w:r>
      <w:r>
        <w:t xml:space="preserve"> </w:t>
      </w:r>
      <w:r>
        <w:t xml:space="preserve">recent years, whereas Hawaii showed the lowest ASIR and ASMR</w:t>
      </w:r>
      <w:r>
        <w:t xml:space="preserve"> </w:t>
      </w:r>
      <w:hyperlink r:id="rId106">
        <w:r>
          <w:rPr>
            <w:rStyle w:val="Hyperlink"/>
          </w:rPr>
          <w:t xml:space="preserve">Supporting Files</w:t>
        </w:r>
      </w:hyperlink>
      <w:r>
        <w:t xml:space="preserve">.</w:t>
      </w:r>
      <w:r>
        <w:t xml:space="preserve"> </w:t>
      </w:r>
      <w:r>
        <w:t xml:space="preserve">These differences may reflect regional</w:t>
      </w:r>
      <w:r>
        <w:t xml:space="preserve"> </w:t>
      </w:r>
      <w:r>
        <w:t xml:space="preserve">variations in exposure to risk factors, healthcare access, and public health interventions.</w:t>
      </w:r>
    </w:p>
    <w:p>
      <w:pPr>
        <w:pStyle w:val="BodyText"/>
      </w:pPr>
      <w:r>
        <w:t xml:space="preserve">Despite having one of the highest per capita health expenditures globally</w:t>
      </w:r>
      <w:r>
        <w:t xml:space="preserve"> </w:t>
      </w:r>
      <w:r>
        <w:t xml:space="preserve">(53)</w:t>
      </w:r>
      <w:r>
        <w:t xml:space="preserve">, the country also</w:t>
      </w:r>
      <w:r>
        <w:t xml:space="preserve"> </w:t>
      </w:r>
      <w:r>
        <w:t xml:space="preserve">reports one of the highest ASIR of BC compared to many high-income and high-SDI regions, a</w:t>
      </w:r>
      <w:r>
        <w:t xml:space="preserve"> </w:t>
      </w:r>
      <w:r>
        <w:t xml:space="preserve">finding that is consistent with recent research</w:t>
      </w:r>
      <w:r>
        <w:t xml:space="preserve"> </w:t>
      </w:r>
      <w:r>
        <w:t xml:space="preserve">(3)</w:t>
      </w:r>
      <w:r>
        <w:t xml:space="preserve">. This discrepancy likely reflects the United</w:t>
      </w:r>
      <w:r>
        <w:t xml:space="preserve"> </w:t>
      </w:r>
      <w:r>
        <w:t xml:space="preserve">States’ advanced diagnostic infrastructure and widespread access to healthcare services</w:t>
      </w:r>
      <w:r>
        <w:t xml:space="preserve"> </w:t>
      </w:r>
      <w:r>
        <w:t xml:space="preserve">(54)</w:t>
      </w:r>
      <w:r>
        <w:t xml:space="preserve">,</w:t>
      </w:r>
      <w:r>
        <w:t xml:space="preserve"> </w:t>
      </w:r>
      <w:r>
        <w:t xml:space="preserve">which facilitate superior case detection rather than a true increase in disease burden</w:t>
      </w:r>
      <w:r>
        <w:t xml:space="preserve"> </w:t>
      </w:r>
      <w:r>
        <w:t xml:space="preserve">(55,56)</w:t>
      </w:r>
      <w:r>
        <w:t xml:space="preserve">. However, this also underscores a potential misalignment in healthcare priorities, where</w:t>
      </w:r>
      <w:r>
        <w:t xml:space="preserve"> </w:t>
      </w:r>
      <w:r>
        <w:t xml:space="preserve">substantial resources may be disproportionately directed toward treatment and diagnostics rather</w:t>
      </w:r>
      <w:r>
        <w:t xml:space="preserve"> </w:t>
      </w:r>
      <w:r>
        <w:t xml:space="preserve">than prevention and risk factor reduction</w:t>
      </w:r>
      <w:r>
        <w:t xml:space="preserve"> </w:t>
      </w:r>
      <w:r>
        <w:t xml:space="preserve">(57)</w:t>
      </w:r>
      <w:r>
        <w:t xml:space="preserve">. The persistently high incidence rates call for</w:t>
      </w:r>
      <w:r>
        <w:t xml:space="preserve"> </w:t>
      </w:r>
      <w:r>
        <w:t xml:space="preserve">stronger public health strategies, given that recent studies indicate that approximately 80% of BC</w:t>
      </w:r>
      <w:r>
        <w:t xml:space="preserve"> </w:t>
      </w:r>
      <w:r>
        <w:t xml:space="preserve">cases diagnosed over the past two decades are likely associated with identifiable preventable</w:t>
      </w:r>
      <w:r>
        <w:t xml:space="preserve"> </w:t>
      </w:r>
      <w:r>
        <w:t xml:space="preserve">factors</w:t>
      </w:r>
      <w:r>
        <w:t xml:space="preserve"> </w:t>
      </w:r>
      <w:r>
        <w:t xml:space="preserve">(58)</w:t>
      </w:r>
      <w:r>
        <w:t xml:space="preserve">. In contrast, a study suggested that inherited genetic factors are estimated to</w:t>
      </w:r>
      <w:r>
        <w:t xml:space="preserve"> </w:t>
      </w:r>
      <w:r>
        <w:t xml:space="preserve">account for only 7% of BC incidences in western populations</w:t>
      </w:r>
      <w:r>
        <w:t xml:space="preserve"> </w:t>
      </w:r>
      <w:r>
        <w:t xml:space="preserve">(59)</w:t>
      </w:r>
      <w:r>
        <w:t xml:space="preserve">. Given the substantial</w:t>
      </w:r>
      <w:r>
        <w:t xml:space="preserve"> </w:t>
      </w:r>
      <w:r>
        <w:t xml:space="preserve">contribution of known environmental risk factors, BC represents a prime candidate for targeted</w:t>
      </w:r>
      <w:r>
        <w:t xml:space="preserve"> </w:t>
      </w:r>
      <w:r>
        <w:t xml:space="preserve">public health policy preventive efforts, particularly in smoking cessation, occupational hazard mitigation,</w:t>
      </w:r>
      <w:r>
        <w:t xml:space="preserve"> </w:t>
      </w:r>
      <w:r>
        <w:t xml:space="preserve">and environmental exposure reduction</w:t>
      </w:r>
      <w:r>
        <w:t xml:space="preserve"> </w:t>
      </w:r>
      <w:r>
        <w:t xml:space="preserve">(60)</w:t>
      </w:r>
      <w:r>
        <w:t xml:space="preserve">.</w:t>
      </w:r>
    </w:p>
    <w:p>
      <w:pPr>
        <w:pStyle w:val="BodyText"/>
      </w:pPr>
      <w:r>
        <w:t xml:space="preserve">The age distribution analysis of BC incidence, DALYs, and mortality across the states from 1990 to</w:t>
      </w:r>
      <w:r>
        <w:t xml:space="preserve"> </w:t>
      </w:r>
      <w:r>
        <w:t xml:space="preserve">2021 reveals a consistent pattern of increasing burden with advancing age, particularly</w:t>
      </w:r>
      <w:r>
        <w:t xml:space="preserve"> </w:t>
      </w:r>
      <w:r>
        <w:t xml:space="preserve">in older age groups, consistent with previous findings</w:t>
      </w:r>
      <w:r>
        <w:t xml:space="preserve"> </w:t>
      </w:r>
      <w:r>
        <w:t xml:space="preserve">(3)</w:t>
      </w:r>
      <w:r>
        <w:t xml:space="preserve">. While age-specific trends</w:t>
      </w:r>
      <w:r>
        <w:t xml:space="preserve"> </w:t>
      </w:r>
      <w:r>
        <w:t xml:space="preserve">have remained relatively stable over time, 2021 data showed slightly elevated incidence and mortality in the</w:t>
      </w:r>
      <w:r>
        <w:t xml:space="preserve"> </w:t>
      </w:r>
      <w:r>
        <w:t xml:space="preserve">oldest age groups across several states, including California, Texas, and Connecticut</w:t>
      </w:r>
      <w:r>
        <w:t xml:space="preserve"> </w:t>
      </w:r>
      <w:hyperlink r:id="rId107">
        <w:r>
          <w:rPr>
            <w:rStyle w:val="Hyperlink"/>
          </w:rPr>
          <w:t xml:space="preserve">Supporting Files</w:t>
        </w:r>
      </w:hyperlink>
      <w:r>
        <w:t xml:space="preserve">.</w:t>
      </w:r>
      <w:r>
        <w:t xml:space="preserve"> </w:t>
      </w:r>
      <w:r>
        <w:t xml:space="preserve">This can be partly due to the substantial aging of the overall population during this period, marked by a</w:t>
      </w:r>
      <w:r>
        <w:t xml:space="preserve"> </w:t>
      </w:r>
      <w:r>
        <w:t xml:space="preserve">38.6% increase in the number of people aged 65 and older from 2010 to 2020</w:t>
      </w:r>
      <w:r>
        <w:t xml:space="preserve"> </w:t>
      </w:r>
      <w:r>
        <w:t xml:space="preserve">(60)</w:t>
      </w:r>
      <w:r>
        <w:t xml:space="preserve">. In addition,</w:t>
      </w:r>
      <w:r>
        <w:t xml:space="preserve"> </w:t>
      </w:r>
      <w:r>
        <w:t xml:space="preserve">recent trends show the oldest Americans (especially men 85+) are not experiencing the same mortality</w:t>
      </w:r>
      <w:r>
        <w:t xml:space="preserve"> </w:t>
      </w:r>
      <w:r>
        <w:t xml:space="preserve">improvements as younger seniors. Notably, the most significant rise occurred in the 75-79 and 80+</w:t>
      </w:r>
      <w:r>
        <w:t xml:space="preserve"> </w:t>
      </w:r>
      <w:r>
        <w:t xml:space="preserve">age groups, suggesting the cumulative impact of lifetime exposures and the biological role of aging</w:t>
      </w:r>
      <w:r>
        <w:t xml:space="preserve"> </w:t>
      </w:r>
      <w:r>
        <w:t xml:space="preserve">(61)</w:t>
      </w:r>
      <w:r>
        <w:t xml:space="preserve">. These findings suggest that while early detection and treatment may be improving overall</w:t>
      </w:r>
      <w:r>
        <w:t xml:space="preserve"> </w:t>
      </w:r>
      <w:r>
        <w:t xml:space="preserve">outcomes, the burden in the elderly remains a critical public health concern</w:t>
      </w:r>
      <w:r>
        <w:t xml:space="preserve"> </w:t>
      </w:r>
      <w:r>
        <w:t xml:space="preserve">(19)</w:t>
      </w:r>
      <w:r>
        <w:t xml:space="preserve">.</w:t>
      </w:r>
    </w:p>
    <w:p>
      <w:pPr>
        <w:pStyle w:val="BodyText"/>
      </w:pPr>
      <w:r>
        <w:t xml:space="preserve">Consistent with the broader literature, our own analysis confirms that men experience bladder burden rates</w:t>
      </w:r>
      <w:r>
        <w:t xml:space="preserve"> </w:t>
      </w:r>
      <w:r>
        <w:t xml:space="preserve">of roughly four-fold higher than women</w:t>
      </w:r>
      <w:r>
        <w:t xml:space="preserve"> </w:t>
      </w:r>
      <w:r>
        <w:t xml:space="preserve">(21)</w:t>
      </w:r>
      <w:r>
        <w:t xml:space="preserve">. When we examined age-period curves</w:t>
      </w:r>
      <w:r>
        <w:t xml:space="preserve"> </w:t>
      </w:r>
      <w:r>
        <w:t xml:space="preserve">across multiple states, the shapes of the age‐specific burden trajectories were</w:t>
      </w:r>
      <w:r>
        <w:t xml:space="preserve"> </w:t>
      </w:r>
      <w:r>
        <w:t xml:space="preserve">somewhat similar for men and women in the sense that both sexes showed an exponential</w:t>
      </w:r>
      <w:r>
        <w:t xml:space="preserve"> </w:t>
      </w:r>
      <w:r>
        <w:t xml:space="preserve">rise after age 60, despite</w:t>
      </w:r>
      <w:r>
        <w:t xml:space="preserve"> </w:t>
      </w:r>
      <w:r>
        <w:t xml:space="preserve">women having much lower rates and ASMR has fallen more slowly in women than men. In</w:t>
      </w:r>
      <w:r>
        <w:t xml:space="preserve"> </w:t>
      </w:r>
      <w:r>
        <w:t xml:space="preserve">addition, studies have shown that female patients often present with more advanced disease and</w:t>
      </w:r>
      <w:r>
        <w:t xml:space="preserve"> </w:t>
      </w:r>
      <w:r>
        <w:t xml:space="preserve">poorer outcomes</w:t>
      </w:r>
      <w:r>
        <w:t xml:space="preserve"> </w:t>
      </w:r>
      <w:r>
        <w:t xml:space="preserve">(22,62,63)</w:t>
      </w:r>
      <w:r>
        <w:t xml:space="preserve">. These gender disparities are not unexpected, and one</w:t>
      </w:r>
      <w:r>
        <w:t xml:space="preserve"> </w:t>
      </w:r>
      <w:r>
        <w:t xml:space="preserve">explanation is that they may partly stem from previous studies suggesting that women with hematuria</w:t>
      </w:r>
      <w:r>
        <w:t xml:space="preserve"> </w:t>
      </w:r>
      <w:r>
        <w:t xml:space="preserve">often experience delays in evaluation, as the symptom is frequently misattributed to urinary tract</w:t>
      </w:r>
      <w:r>
        <w:t xml:space="preserve"> </w:t>
      </w:r>
      <w:r>
        <w:t xml:space="preserve">infections or gynecologic conditions</w:t>
      </w:r>
      <w:r>
        <w:t xml:space="preserve"> </w:t>
      </w:r>
      <w:r>
        <w:t xml:space="preserve">(62,64)</w:t>
      </w:r>
      <w:r>
        <w:t xml:space="preserve">. To address these disparities, clinicians should</w:t>
      </w:r>
      <w:r>
        <w:t xml:space="preserve"> </w:t>
      </w:r>
      <w:r>
        <w:t xml:space="preserve">implement the 2025 American Urological Association (AUA) guideline</w:t>
      </w:r>
      <w:r>
        <w:t xml:space="preserve"> </w:t>
      </w:r>
      <w:r>
        <w:t xml:space="preserve">updates</w:t>
      </w:r>
      <w:r>
        <w:t xml:space="preserve"> </w:t>
      </w:r>
      <w:r>
        <w:t xml:space="preserve">(65)</w:t>
      </w:r>
      <w:r>
        <w:t xml:space="preserve"> </w:t>
      </w:r>
      <w:r>
        <w:t xml:space="preserve">in routine practice and consider the use of</w:t>
      </w:r>
      <w:r>
        <w:t xml:space="preserve"> </w:t>
      </w:r>
      <w:r>
        <w:t xml:space="preserve">validated biomarkers for risk stratification, while primary care organizations are encouraged to</w:t>
      </w:r>
      <w:r>
        <w:t xml:space="preserve"> </w:t>
      </w:r>
      <w:r>
        <w:t xml:space="preserve">adopt sex‑aware diagnostic protocols and systematically monitor referral patterns for hematuria in</w:t>
      </w:r>
      <w:r>
        <w:t xml:space="preserve"> </w:t>
      </w:r>
      <w:r>
        <w:t xml:space="preserve">women.</w:t>
      </w:r>
    </w:p>
    <w:p>
      <w:pPr>
        <w:pStyle w:val="BodyText"/>
      </w:pPr>
      <w:r>
        <w:t xml:space="preserve">In addition, emerging research highlights key biological contributors to these disparities: men and</w:t>
      </w:r>
      <w:r>
        <w:t xml:space="preserve"> </w:t>
      </w:r>
      <w:r>
        <w:t xml:space="preserve">women differ in immune surveillance, circulating hormone levels (and hormone receptor expression),</w:t>
      </w:r>
      <w:r>
        <w:t xml:space="preserve"> </w:t>
      </w:r>
      <w:r>
        <w:t xml:space="preserve">and genetic/epigenetic alterations</w:t>
      </w:r>
      <w:r>
        <w:t xml:space="preserve"> </w:t>
      </w:r>
      <w:r>
        <w:t xml:space="preserve">(66)</w:t>
      </w:r>
      <w:r>
        <w:t xml:space="preserve">. For example, male hormone signaling may promote certain</w:t>
      </w:r>
      <w:r>
        <w:t xml:space="preserve"> </w:t>
      </w:r>
      <w:r>
        <w:t xml:space="preserve">cancer pathways, while female biology (e.g. different immune responses) may influence tumor</w:t>
      </w:r>
      <w:r>
        <w:t xml:space="preserve"> </w:t>
      </w:r>
      <w:r>
        <w:t xml:space="preserve">aggression</w:t>
      </w:r>
      <w:r>
        <w:t xml:space="preserve"> </w:t>
      </w:r>
      <w:r>
        <w:t xml:space="preserve">(67,68)</w:t>
      </w:r>
      <w:r>
        <w:t xml:space="preserve">. Importantly, these intrinsic differences persist even after adjusting for</w:t>
      </w:r>
      <w:r>
        <w:t xml:space="preserve"> </w:t>
      </w:r>
      <w:r>
        <w:t xml:space="preserve">known exposures, such as smoking and occupation</w:t>
      </w:r>
      <w:r>
        <w:t xml:space="preserve"> </w:t>
      </w:r>
      <w:r>
        <w:t xml:space="preserve">(8)</w:t>
      </w:r>
      <w:r>
        <w:t xml:space="preserve">. Ongoing studies of sex hormones, immune</w:t>
      </w:r>
      <w:r>
        <w:t xml:space="preserve"> </w:t>
      </w:r>
      <w:r>
        <w:t xml:space="preserve">checkpoints, and genomic profiles aim to explain why men are so much more likely to develop bladder</w:t>
      </w:r>
      <w:r>
        <w:t xml:space="preserve"> </w:t>
      </w:r>
      <w:r>
        <w:t xml:space="preserve">cancer and why women exhibit worse outcomes once diagnosed.</w:t>
      </w:r>
    </w:p>
    <w:p>
      <w:pPr>
        <w:pStyle w:val="BodyText"/>
      </w:pPr>
      <w:r>
        <w:t xml:space="preserve">Regarding geographic and demographic disparities in BC burden, consistent with our study,</w:t>
      </w:r>
      <w:r>
        <w:t xml:space="preserve"> </w:t>
      </w:r>
      <w:r>
        <w:t xml:space="preserve">studies from United States</w:t>
      </w:r>
      <w:r>
        <w:t xml:space="preserve"> </w:t>
      </w:r>
      <w:r>
        <w:t xml:space="preserve">show the highest incidence among males and in the Northeast region (e.g. Maine, New</w:t>
      </w:r>
      <w:r>
        <w:t xml:space="preserve"> </w:t>
      </w:r>
      <w:r>
        <w:t xml:space="preserve">Hampshire, Vermont)</w:t>
      </w:r>
      <w:r>
        <w:t xml:space="preserve"> </w:t>
      </w:r>
      <w:r>
        <w:t xml:space="preserve">(16)</w:t>
      </w:r>
      <w:r>
        <w:t xml:space="preserve">. This pattern cannot be fully explained by smoking alone</w:t>
      </w:r>
      <w:r>
        <w:t xml:space="preserve"> </w:t>
      </w:r>
      <w:r>
        <w:t xml:space="preserve">(12)</w:t>
      </w:r>
      <w:r>
        <w:t xml:space="preserve">. In</w:t>
      </w:r>
      <w:r>
        <w:t xml:space="preserve"> </w:t>
      </w:r>
      <w:r>
        <w:t xml:space="preserve">fact, researchers have linked elevated incidence in these New England states to environmental</w:t>
      </w:r>
      <w:r>
        <w:t xml:space="preserve"> </w:t>
      </w:r>
      <w:r>
        <w:t xml:space="preserve">carcinogens, one of which is arsenic in drinking water using private domestic wells</w:t>
      </w:r>
      <w:r>
        <w:t xml:space="preserve"> </w:t>
      </w:r>
      <w:r>
        <w:t xml:space="preserve">(12,13)</w:t>
      </w:r>
      <w:r>
        <w:t xml:space="preserve">.</w:t>
      </w:r>
      <w:r>
        <w:t xml:space="preserve"> </w:t>
      </w:r>
      <w:r>
        <w:t xml:space="preserve">Declines in Northeast BC rates over the past decade suggest improvements in water treatment</w:t>
      </w:r>
      <w:r>
        <w:t xml:space="preserve"> </w:t>
      </w:r>
      <w:r>
        <w:t xml:space="preserve">(69)</w:t>
      </w:r>
      <w:r>
        <w:t xml:space="preserve"> </w:t>
      </w:r>
      <w:r>
        <w:t xml:space="preserve">and broader public health interventions. For example, in both Maine and New Jersey, household</w:t>
      </w:r>
      <w:r>
        <w:t xml:space="preserve"> </w:t>
      </w:r>
      <w:r>
        <w:t xml:space="preserve">arsenic treatment systems, particularly those professionally installed and maintained, have</w:t>
      </w:r>
      <w:r>
        <w:t xml:space="preserve"> </w:t>
      </w:r>
      <w:r>
        <w:t xml:space="preserve">achieved a substantial seven-fold reduction in arsenic exposure and associated cancer risk</w:t>
      </w:r>
      <w:r>
        <w:t xml:space="preserve"> </w:t>
      </w:r>
      <w:r>
        <w:t xml:space="preserve">(70)</w:t>
      </w:r>
      <w:r>
        <w:t xml:space="preserve">.</w:t>
      </w:r>
      <w:r>
        <w:t xml:space="preserve"> </w:t>
      </w:r>
      <w:r>
        <w:t xml:space="preserve">However, nearly 20% of these systems failed to reduce arsenic to acceptable levels, underscoring the</w:t>
      </w:r>
      <w:r>
        <w:t xml:space="preserve"> </w:t>
      </w:r>
      <w:r>
        <w:t xml:space="preserve">importance of proper installation, routine maintenance, and ongoing monitoring to ensure sustained</w:t>
      </w:r>
      <w:r>
        <w:t xml:space="preserve"> </w:t>
      </w:r>
      <w:r>
        <w:t xml:space="preserve">effectiveness</w:t>
      </w:r>
      <w:r>
        <w:t xml:space="preserve"> </w:t>
      </w:r>
      <w:r>
        <w:t xml:space="preserve">(70)</w:t>
      </w:r>
      <w:r>
        <w:t xml:space="preserve">. Another example is in an effort to reduce arsenic-related health risks such</w:t>
      </w:r>
      <w:r>
        <w:t xml:space="preserve"> </w:t>
      </w:r>
      <w:r>
        <w:t xml:space="preserve">as BC, New Hampshire lowered its public drinking water arsenic standard to 5 µg/L, which is</w:t>
      </w:r>
      <w:r>
        <w:t xml:space="preserve"> </w:t>
      </w:r>
      <w:r>
        <w:t xml:space="preserve">half the federal Environmental Protection Agency (EPA)</w:t>
      </w:r>
      <w:r>
        <w:t xml:space="preserve"> </w:t>
      </w:r>
      <w:r>
        <w:t xml:space="preserve">limit, through a law passed in 2019 and implemented in 2021</w:t>
      </w:r>
      <w:r>
        <w:t xml:space="preserve"> </w:t>
      </w:r>
      <w:r>
        <w:t xml:space="preserve">(71)</w:t>
      </w:r>
      <w:r>
        <w:t xml:space="preserve">. Despite public health</w:t>
      </w:r>
      <w:r>
        <w:t xml:space="preserve"> </w:t>
      </w:r>
      <w:r>
        <w:t xml:space="preserve">efforts, these states continue to lead in BC incidence partly due to the disease’s long latency and</w:t>
      </w:r>
      <w:r>
        <w:t xml:space="preserve"> </w:t>
      </w:r>
      <w:r>
        <w:t xml:space="preserve">lifetime cumulative arsenic exposure. Recent reductions in arsenic levels will take time to</w:t>
      </w:r>
      <w:r>
        <w:t xml:space="preserve"> </w:t>
      </w:r>
      <w:r>
        <w:t xml:space="preserve">translate into lower rates, especially as many private wells still contain legacy contamination.</w:t>
      </w:r>
    </w:p>
    <w:p>
      <w:pPr>
        <w:pStyle w:val="BodyText"/>
      </w:pPr>
      <w:r>
        <w:t xml:space="preserve">By contrast, certain other regions exhibit disproportionately high mortality from BC even if</w:t>
      </w:r>
      <w:r>
        <w:t xml:space="preserve"> </w:t>
      </w:r>
      <w:r>
        <w:t xml:space="preserve">incidence is not highest. For example, we found that Nevada and some southern states like West</w:t>
      </w:r>
      <w:r>
        <w:t xml:space="preserve"> </w:t>
      </w:r>
      <w:r>
        <w:t xml:space="preserve">Virginia, Kentucky, and Alabama show some of the nation’s highest ASMRs from BC, similar to previous</w:t>
      </w:r>
      <w:r>
        <w:t xml:space="preserve"> </w:t>
      </w:r>
      <w:r>
        <w:t xml:space="preserve">studies</w:t>
      </w:r>
      <w:r>
        <w:t xml:space="preserve"> </w:t>
      </w:r>
      <w:r>
        <w:t xml:space="preserve">(19,72)</w:t>
      </w:r>
      <w:r>
        <w:t xml:space="preserve">. The elevated BC mortality observed in the Southern states may be partly</w:t>
      </w:r>
      <w:r>
        <w:t xml:space="preserve"> </w:t>
      </w:r>
      <w:r>
        <w:t xml:space="preserve">explained by the substantial burden of smoking-attributable cancer deaths in this region</w:t>
      </w:r>
      <w:r>
        <w:t xml:space="preserve"> </w:t>
      </w:r>
      <w:r>
        <w:t xml:space="preserve">(73)</w:t>
      </w:r>
      <w:r>
        <w:t xml:space="preserve">. In</w:t>
      </w:r>
      <w:r>
        <w:t xml:space="preserve"> </w:t>
      </w:r>
      <w:r>
        <w:t xml:space="preserve">addition, the higher proportion of rural areas in southern states may contribute to increased</w:t>
      </w:r>
      <w:r>
        <w:t xml:space="preserve"> </w:t>
      </w:r>
      <w:r>
        <w:t xml:space="preserve">mortality risk</w:t>
      </w:r>
      <w:r>
        <w:t xml:space="preserve"> </w:t>
      </w:r>
      <w:r>
        <w:t xml:space="preserve">(74,75)</w:t>
      </w:r>
      <w:r>
        <w:t xml:space="preserve">, potentially due to limited access to healthcare services and delayed</w:t>
      </w:r>
      <w:r>
        <w:t xml:space="preserve"> </w:t>
      </w:r>
      <w:r>
        <w:t xml:space="preserve">cancer detection or treatment</w:t>
      </w:r>
      <w:r>
        <w:t xml:space="preserve"> </w:t>
      </w:r>
      <w:r>
        <w:t xml:space="preserve">(75)</w:t>
      </w:r>
      <w:r>
        <w:t xml:space="preserve">. Limited availability of healthcare providers and the need for</w:t>
      </w:r>
      <w:r>
        <w:t xml:space="preserve"> </w:t>
      </w:r>
      <w:r>
        <w:t xml:space="preserve">long-distance travel to treatment centers can cause further delays</w:t>
      </w:r>
      <w:r>
        <w:t xml:space="preserve"> </w:t>
      </w:r>
      <w:r>
        <w:t xml:space="preserve">(76)</w:t>
      </w:r>
      <w:r>
        <w:t xml:space="preserve">, while lower insurance</w:t>
      </w:r>
      <w:r>
        <w:t xml:space="preserve"> </w:t>
      </w:r>
      <w:r>
        <w:t xml:space="preserve">coverage rates among rural residents have been reported as contributing factors to diagnostic delays</w:t>
      </w:r>
      <w:r>
        <w:t xml:space="preserve"> </w:t>
      </w:r>
      <w:r>
        <w:t xml:space="preserve">in other cancers</w:t>
      </w:r>
      <w:r>
        <w:t xml:space="preserve"> </w:t>
      </w:r>
      <w:r>
        <w:t xml:space="preserve">(77)</w:t>
      </w:r>
      <w:r>
        <w:t xml:space="preserve">. On the contrary, Northeast’s low uninsured rate</w:t>
      </w:r>
      <w:r>
        <w:t xml:space="preserve"> </w:t>
      </w:r>
      <w:r>
        <w:t xml:space="preserve">(78)</w:t>
      </w:r>
      <w:r>
        <w:t xml:space="preserve"> </w:t>
      </w:r>
      <w:r>
        <w:t xml:space="preserve">may contribute to</w:t>
      </w:r>
      <w:r>
        <w:t xml:space="preserve"> </w:t>
      </w:r>
      <w:r>
        <w:t xml:space="preserve">relatively lower BC mortality, despite the region’s relatively high incidence rates. As a result, a</w:t>
      </w:r>
      <w:r>
        <w:t xml:space="preserve"> </w:t>
      </w:r>
      <w:r>
        <w:t xml:space="preserve">regional</w:t>
      </w:r>
      <w:r>
        <w:t xml:space="preserve"> </w:t>
      </w:r>
      <w:r>
        <w:t xml:space="preserve">“mismatch”</w:t>
      </w:r>
      <w:r>
        <w:t xml:space="preserve"> </w:t>
      </w:r>
      <w:r>
        <w:t xml:space="preserve">becomes evident as states like those in New England exhibit high incidence but</w:t>
      </w:r>
      <w:r>
        <w:t xml:space="preserve"> </w:t>
      </w:r>
      <w:r>
        <w:t xml:space="preserve">relatively low mortality, while others in the South and West experience persistently high death</w:t>
      </w:r>
      <w:r>
        <w:t xml:space="preserve"> </w:t>
      </w:r>
      <w:r>
        <w:t xml:space="preserve">rates despite comparable or lower incidence.</w:t>
      </w:r>
    </w:p>
    <w:p>
      <w:pPr>
        <w:pStyle w:val="BodyText"/>
      </w:pPr>
      <w:r>
        <w:t xml:space="preserve">Hawaii stands out with one of the lowest state-level BC burden rates and trends. Several factors likely</w:t>
      </w:r>
      <w:r>
        <w:t xml:space="preserve"> </w:t>
      </w:r>
      <w:r>
        <w:t xml:space="preserve">contribute to Hawaii’s protective profile. The population is predominantly Asian/Pacific Islander,</w:t>
      </w:r>
      <w:r>
        <w:t xml:space="preserve"> </w:t>
      </w:r>
      <w:r>
        <w:t xml:space="preserve">groups that historically have lower BC risk than non-Hispanic Whites</w:t>
      </w:r>
      <w:r>
        <w:t xml:space="preserve"> </w:t>
      </w:r>
      <w:r>
        <w:t xml:space="preserve">(79)</w:t>
      </w:r>
      <w:r>
        <w:t xml:space="preserve">. Hawaii also boasts low</w:t>
      </w:r>
      <w:r>
        <w:t xml:space="preserve"> </w:t>
      </w:r>
      <w:r>
        <w:t xml:space="preserve">adult smoking prevalence</w:t>
      </w:r>
      <w:r>
        <w:t xml:space="preserve"> </w:t>
      </w:r>
      <w:r>
        <w:t xml:space="preserve">(80)</w:t>
      </w:r>
      <w:r>
        <w:t xml:space="preserve"> </w:t>
      </w:r>
      <w:r>
        <w:t xml:space="preserve">and strong tobacco-control policies relative to many mainland</w:t>
      </w:r>
      <w:r>
        <w:t xml:space="preserve"> </w:t>
      </w:r>
      <w:r>
        <w:t xml:space="preserve">states</w:t>
      </w:r>
      <w:r>
        <w:t xml:space="preserve"> </w:t>
      </w:r>
      <w:r>
        <w:t xml:space="preserve">(81)</w:t>
      </w:r>
      <w:r>
        <w:t xml:space="preserve">. Environmental exposures such as industrial chemicals, arsenic, pollutants, are generally</w:t>
      </w:r>
      <w:r>
        <w:t xml:space="preserve"> </w:t>
      </w:r>
      <w:r>
        <w:t xml:space="preserve">less concentrated in Hawaii. In combination, these demographic and lifestyle differences along</w:t>
      </w:r>
      <w:r>
        <w:t xml:space="preserve"> </w:t>
      </w:r>
      <w:r>
        <w:t xml:space="preserve">with relatively good access to healthcare and high rates of health insurance</w:t>
      </w:r>
      <w:r>
        <w:t xml:space="preserve"> </w:t>
      </w:r>
      <w:r>
        <w:t xml:space="preserve">(82)</w:t>
      </w:r>
      <w:r>
        <w:t xml:space="preserve"> </w:t>
      </w:r>
      <w:r>
        <w:t xml:space="preserve">likely</w:t>
      </w:r>
      <w:r>
        <w:t xml:space="preserve"> </w:t>
      </w:r>
      <w:r>
        <w:t xml:space="preserve">explain why Hawaii has the least BC burden despite excellent longevity. In summary, Hawaii’s example</w:t>
      </w:r>
      <w:r>
        <w:t xml:space="preserve"> </w:t>
      </w:r>
      <w:r>
        <w:t xml:space="preserve">underscores how reduced exposure to known risks (e.g. tobacco and toxins) and access to care can produce</w:t>
      </w:r>
      <w:r>
        <w:t xml:space="preserve"> </w:t>
      </w:r>
      <w:r>
        <w:t xml:space="preserve">strikingly lower BC incidence and mortality.</w:t>
      </w:r>
    </w:p>
    <w:p>
      <w:pPr>
        <w:pStyle w:val="BodyText"/>
      </w:pPr>
      <w:r>
        <w:t xml:space="preserve">Strengths of our study include in the use of robust population-based data to examine</w:t>
      </w:r>
      <w:r>
        <w:t xml:space="preserve"> </w:t>
      </w:r>
      <w:r>
        <w:t xml:space="preserve">state-level disparities and temporal trends in BC incidence and mortality across the United States.</w:t>
      </w:r>
      <w:r>
        <w:t xml:space="preserve"> </w:t>
      </w:r>
      <w:r>
        <w:t xml:space="preserve">This study has several limitations that warrant consideration. The GBD</w:t>
      </w:r>
      <w:r>
        <w:t xml:space="preserve"> </w:t>
      </w:r>
      <w:r>
        <w:t xml:space="preserve">analysis is constrained by the limited availability of high-quality primary data, necessitating the</w:t>
      </w:r>
      <w:r>
        <w:t xml:space="preserve"> </w:t>
      </w:r>
      <w:r>
        <w:t xml:space="preserve">use of modeling techniques that may compromise predictive validity in settings where data are sparse</w:t>
      </w:r>
      <w:r>
        <w:t xml:space="preserve"> </w:t>
      </w:r>
      <w:r>
        <w:t xml:space="preserve">or inconsistent. While the sophisticated data processing and statistical modeling methods employed</w:t>
      </w:r>
      <w:r>
        <w:t xml:space="preserve"> </w:t>
      </w:r>
      <w:r>
        <w:t xml:space="preserve">by GBD collaborators help mitigate this issue, they also introduce an inherent level of uncertainty</w:t>
      </w:r>
      <w:r>
        <w:t xml:space="preserve"> </w:t>
      </w:r>
      <w:r>
        <w:t xml:space="preserve">into the estimates. In addition, there is a lag in the availability of GBD data. As our analysis is</w:t>
      </w:r>
      <w:r>
        <w:t xml:space="preserve"> </w:t>
      </w:r>
      <w:r>
        <w:t xml:space="preserve">based on data spanning 1990 to 2021, it may not fully capture the most recent trends in the burden</w:t>
      </w:r>
      <w:r>
        <w:t xml:space="preserve"> </w:t>
      </w:r>
      <w:r>
        <w:t xml:space="preserve">of BC. Lastly, this study focuses primarily on the epidemiological patterns of BC and does not</w:t>
      </w:r>
      <w:r>
        <w:t xml:space="preserve"> </w:t>
      </w:r>
      <w:r>
        <w:t xml:space="preserve">incorporate analyses of specific clinical aspects and risk factors, thereby limiting</w:t>
      </w:r>
      <w:r>
        <w:t xml:space="preserve"> </w:t>
      </w:r>
      <w:r>
        <w:t xml:space="preserve">the ability to draw causal inferences.</w:t>
      </w:r>
    </w:p>
    <w:bookmarkEnd w:id="108"/>
    <w:bookmarkStart w:id="109" w:name="conclusions"/>
    <w:p>
      <w:pPr>
        <w:pStyle w:val="Heading1"/>
      </w:pPr>
      <w:r>
        <w:t xml:space="preserve">6. Conclusions</w:t>
      </w:r>
    </w:p>
    <w:p>
      <w:pPr>
        <w:pStyle w:val="FirstParagraph"/>
      </w:pPr>
      <w:r>
        <w:t xml:space="preserve">BC remains a significant public health challenge in the United States, marked by notable geographic,</w:t>
      </w:r>
      <w:r>
        <w:t xml:space="preserve"> </w:t>
      </w:r>
      <w:r>
        <w:t xml:space="preserve">demographic, and sex-based disparities. Despite national declines in some burden measures,</w:t>
      </w:r>
      <w:r>
        <w:t xml:space="preserve"> </w:t>
      </w:r>
      <w:r>
        <w:t xml:space="preserve">certain states continue to bear a disproportionate burden, driven by environmental exposures, aging</w:t>
      </w:r>
      <w:r>
        <w:t xml:space="preserve"> </w:t>
      </w:r>
      <w:r>
        <w:t xml:space="preserve">populations, and limited healthcare access. Our analysis highlights the need for region-specific</w:t>
      </w:r>
      <w:r>
        <w:t xml:space="preserve"> </w:t>
      </w:r>
      <w:r>
        <w:t xml:space="preserve">prevention policies, improved diagnostic equity, and robust surveillance systems. Addressing</w:t>
      </w:r>
      <w:r>
        <w:t xml:space="preserve"> </w:t>
      </w:r>
      <w:r>
        <w:t xml:space="preserve">modifiable risk factors alongside expanding access to early detection and care, is crucial. Targeted</w:t>
      </w:r>
      <w:r>
        <w:t xml:space="preserve"> </w:t>
      </w:r>
      <w:r>
        <w:t xml:space="preserve">public health initiatives and policies are essential to reduce disparities and alleviate the</w:t>
      </w:r>
      <w:r>
        <w:t xml:space="preserve"> </w:t>
      </w:r>
      <w:r>
        <w:t xml:space="preserve">long-term burden of this costly and preventable disease.</w:t>
      </w:r>
    </w:p>
    <w:p>
      <w:r>
        <w:pict>
          <v:rect style="width:0;height:1.5pt" o:hralign="center" o:hrstd="t" o:hr="t"/>
        </w:pict>
      </w:r>
    </w:p>
    <w:p>
      <w:pPr>
        <w:pStyle w:val="BlockText"/>
      </w:pPr>
      <w:r>
        <w:rPr>
          <w:b/>
          <w:bCs/>
        </w:rPr>
        <w:t xml:space="preserve">Comments by Fatemeh</w:t>
      </w:r>
    </w:p>
    <w:p>
      <w:pPr>
        <w:pStyle w:val="BlockText"/>
      </w:pPr>
      <w:r>
        <w:t xml:space="preserve">[Delaware, and Nevada have shown rising or plateauing ASIRs and ASMRs. The trends shown in CDC</w:t>
      </w:r>
      <w:r>
        <w:t xml:space="preserve"> </w:t>
      </w:r>
      <w:r>
        <w:t xml:space="preserve">except for NV ASMR are declining, probably because it’s not age-adjusted. Anyway, focus on NV</w:t>
      </w:r>
      <w:r>
        <w:t xml:space="preserve"> </w:t>
      </w:r>
      <w:r>
        <w:t xml:space="preserve">ASMR]</w:t>
      </w:r>
    </w:p>
    <w:p>
      <w:pPr>
        <w:pStyle w:val="BlockText"/>
      </w:pPr>
      <w:r>
        <w:t xml:space="preserve">[States like the District of Columbia exhibited higher incidence and DALY rates in middle-aged males</w:t>
      </w:r>
      <w:r>
        <w:t xml:space="preserve"> </w:t>
      </w:r>
      <w:r>
        <w:t xml:space="preserve">(50–69), potentially indicating early-life exposure to carcinogens or disparities in early</w:t>
      </w:r>
      <w:r>
        <w:t xml:space="preserve"> </w:t>
      </w:r>
      <w:r>
        <w:t xml:space="preserve">diagnosis. This is not age adjusted, it can be just an increase in population]</w:t>
      </w:r>
    </w:p>
    <w:p>
      <w:pPr>
        <w:pStyle w:val="BlockText"/>
      </w:pPr>
      <w:r>
        <w:t xml:space="preserve">[Among northeastern states, New York shows to have a shaper decline in ASIR and ASMR. (this may not</w:t>
      </w:r>
      <w:r>
        <w:t xml:space="preserve"> </w:t>
      </w:r>
      <w:r>
        <w:t xml:space="preserve">be a good comparison, because of the rural population has more incidence and NYers don’t use high</w:t>
      </w:r>
      <w:r>
        <w:t xml:space="preserve"> </w:t>
      </w:r>
      <w:r>
        <w:t xml:space="preserve">domestic wells probably)]</w:t>
      </w:r>
    </w:p>
    <w:p>
      <w:pPr>
        <w:pStyle w:val="BlockText"/>
      </w:pPr>
      <w:r>
        <w:t xml:space="preserve">[Health Economics Research: Conduct health economic analyses to assess the cost-effectiveness of</w:t>
      </w:r>
      <w:r>
        <w:t xml:space="preserve"> </w:t>
      </w:r>
      <w:r>
        <w:t xml:space="preserve">shifting healthcare resources towards primary prevention and early detection, compared to the</w:t>
      </w:r>
      <w:r>
        <w:t xml:space="preserve"> </w:t>
      </w:r>
      <w:r>
        <w:t xml:space="preserve">current disproportionate investment in late-stage treatment. Such research would provide crucial</w:t>
      </w:r>
      <w:r>
        <w:t xml:space="preserve"> </w:t>
      </w:r>
      <w:r>
        <w:t xml:space="preserve">evidence for policy decisions aimed at optimizing public health spending and improving long-term</w:t>
      </w:r>
      <w:r>
        <w:t xml:space="preserve"> </w:t>
      </w:r>
      <w:r>
        <w:t xml:space="preserve">outcomes for BC patients nationwide.]</w:t>
      </w:r>
    </w:p>
    <w:p>
      <w:r>
        <w:pict>
          <v:rect style="width:0;height:1.5pt" o:hralign="center" o:hrstd="t" o:hr="t"/>
        </w:pict>
      </w:r>
    </w:p>
    <w:bookmarkEnd w:id="109"/>
    <w:bookmarkStart w:id="112" w:name="supporting-files"/>
    <w:p>
      <w:pPr>
        <w:pStyle w:val="Heading1"/>
      </w:pPr>
      <w:r>
        <w:t xml:space="preserve">Supporting Files</w:t>
      </w:r>
    </w:p>
    <w:p>
      <w:pPr>
        <w:pStyle w:val="FirstParagraph"/>
      </w:pPr>
      <w:r>
        <w:t xml:space="preserve">Supporting Files are available as appendices to the manuscript and</w:t>
      </w:r>
      <w:r>
        <w:t xml:space="preserve"> </w:t>
      </w:r>
      <w:r>
        <w:t xml:space="preserve">from the following URLs.</w:t>
      </w:r>
    </w:p>
    <w:p>
      <w:pPr>
        <w:numPr>
          <w:ilvl w:val="0"/>
          <w:numId w:val="1007"/>
        </w:numPr>
      </w:pPr>
      <w:r>
        <w:t xml:space="preserve">Plots for historical trends (geographically faceted by states)</w:t>
      </w:r>
      <w:r>
        <w:t xml:space="preserve"> </w:t>
      </w:r>
      <w:r>
        <w:t xml:space="preserve">are available from the project’s</w:t>
      </w:r>
      <w:r>
        <w:t xml:space="preserve"> </w:t>
      </w:r>
      <w:hyperlink r:id="rId99">
        <w:r>
          <w:rPr>
            <w:rStyle w:val="Hyperlink"/>
          </w:rPr>
          <w:t xml:space="preserve">GitHub repository</w:t>
        </w:r>
      </w:hyperlink>
      <w:r>
        <w:t xml:space="preserve">.</w:t>
      </w:r>
      <w:hyperlink r:id="rId110"/>
    </w:p>
    <w:p>
      <w:pPr>
        <w:numPr>
          <w:ilvl w:val="0"/>
          <w:numId w:val="1007"/>
        </w:numPr>
      </w:pPr>
      <w:r>
        <w:t xml:space="preserve">Population pyramid plots of each state’s age- and gender-stratified</w:t>
      </w:r>
      <w:r>
        <w:t xml:space="preserve"> </w:t>
      </w:r>
      <w:r>
        <w:t xml:space="preserve">burdens in 2021 are available from the project’s</w:t>
      </w:r>
      <w:r>
        <w:t xml:space="preserve"> </w:t>
      </w:r>
      <w:hyperlink r:id="rId70">
        <w:r>
          <w:rPr>
            <w:rStyle w:val="Hyperlink"/>
          </w:rPr>
          <w:t xml:space="preserve">GitHub repository</w:t>
        </w:r>
      </w:hyperlink>
      <w:r>
        <w:t xml:space="preserve">.</w:t>
      </w:r>
      <w:hyperlink r:id="rId110"/>
    </w:p>
    <w:p>
      <w:pPr>
        <w:numPr>
          <w:ilvl w:val="0"/>
          <w:numId w:val="1007"/>
        </w:numPr>
      </w:pPr>
      <w:r>
        <w:t xml:space="preserve">Animated historical population pyramid plots of each state’s</w:t>
      </w:r>
      <w:r>
        <w:t xml:space="preserve"> </w:t>
      </w:r>
      <w:r>
        <w:t xml:space="preserve">age- and gender-stratified</w:t>
      </w:r>
      <w:r>
        <w:t xml:space="preserve"> </w:t>
      </w:r>
      <w:r>
        <w:t xml:space="preserve">burdens are available from the project’s</w:t>
      </w:r>
      <w:r>
        <w:t xml:space="preserve"> </w:t>
      </w:r>
      <w:hyperlink r:id="rId71">
        <w:r>
          <w:rPr>
            <w:rStyle w:val="Hyperlink"/>
          </w:rPr>
          <w:t xml:space="preserve">GitHub repository</w:t>
        </w:r>
      </w:hyperlink>
      <w:r>
        <w:t xml:space="preserve">.</w:t>
      </w:r>
      <w:hyperlink r:id="rId110"/>
    </w:p>
    <w:p>
      <w:pPr>
        <w:numPr>
          <w:ilvl w:val="0"/>
          <w:numId w:val="1007"/>
        </w:numPr>
      </w:pPr>
      <w:r>
        <w:t xml:space="preserve">Bump plots ranking states based on their</w:t>
      </w:r>
      <w:r>
        <w:t xml:space="preserve"> </w:t>
      </w:r>
      <w:r>
        <w:t xml:space="preserve">burden statistics in 1990, 2000, 2010, and 2021 are available</w:t>
      </w:r>
      <w:r>
        <w:t xml:space="preserve"> </w:t>
      </w:r>
      <w:r>
        <w:t xml:space="preserve">from the project’s</w:t>
      </w:r>
      <w:r>
        <w:t xml:space="preserve"> </w:t>
      </w:r>
      <w:hyperlink r:id="rId111">
        <w:r>
          <w:rPr>
            <w:rStyle w:val="Hyperlink"/>
          </w:rPr>
          <w:t xml:space="preserve">GitHub repository</w:t>
        </w:r>
      </w:hyperlink>
      <w:r>
        <w:t xml:space="preserve">.</w:t>
      </w:r>
      <w:hyperlink r:id="rId110"/>
    </w:p>
    <w:p>
      <w:pPr>
        <w:numPr>
          <w:ilvl w:val="0"/>
          <w:numId w:val="1007"/>
        </w:numPr>
      </w:pPr>
      <w:r>
        <w:t xml:space="preserve">Line plots visualizing each state’s age- and gender-stratified burdens</w:t>
      </w:r>
      <w:r>
        <w:t xml:space="preserve"> </w:t>
      </w:r>
      <w:r>
        <w:t xml:space="preserve">across decades are available from the project’s</w:t>
      </w:r>
      <w:r>
        <w:t xml:space="preserve"> </w:t>
      </w:r>
      <w:hyperlink r:id="rId72">
        <w:r>
          <w:rPr>
            <w:rStyle w:val="Hyperlink"/>
          </w:rPr>
          <w:t xml:space="preserve">GitHub repository</w:t>
        </w:r>
      </w:hyperlink>
      <w:r>
        <w:t xml:space="preserve">.</w:t>
      </w:r>
      <w:hyperlink r:id="rId110"/>
    </w:p>
    <w:bookmarkEnd w:id="112"/>
    <w:bookmarkStart w:id="119" w:name="statements"/>
    <w:p>
      <w:pPr>
        <w:pStyle w:val="Heading1"/>
      </w:pPr>
      <w:r>
        <w:t xml:space="preserve">7. Statements</w:t>
      </w:r>
    </w:p>
    <w:bookmarkStart w:id="113"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Niloofar Dehdari Ebrahimi, Ehsan Taherifard,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Wassim Kassouf;</w:t>
      </w:r>
      <w:r>
        <w:t xml:space="preserve"> </w:t>
      </w:r>
      <w:r>
        <w:rPr>
          <w:b/>
          <w:bCs/>
        </w:rPr>
        <w:t xml:space="preserve">Writing – original draft:</w:t>
      </w:r>
      <w:r>
        <w:t xml:space="preserve"> </w:t>
      </w:r>
      <w:r>
        <w:t xml:space="preserve">Alireza Sadeghi, Fatemeh Nouri, Niloofar Dehdari Ebrahimi;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113"/>
    <w:bookmarkStart w:id="114" w:name="acknowledgments"/>
    <w:p>
      <w:pPr>
        <w:pStyle w:val="Heading2"/>
      </w:pPr>
      <w:r>
        <w:t xml:space="preserve">7.2 Acknowledgments</w:t>
      </w:r>
    </w:p>
    <w:p>
      <w:pPr>
        <w:pStyle w:val="FirstParagraph"/>
      </w:pPr>
      <w:r>
        <w:t xml:space="preserve">The authors declare no conflicts of interest.</w:t>
      </w:r>
    </w:p>
    <w:bookmarkEnd w:id="114"/>
    <w:bookmarkStart w:id="115" w:name="transparency-statement"/>
    <w:p>
      <w:pPr>
        <w:pStyle w:val="Heading2"/>
      </w:pPr>
      <w:r>
        <w:t xml:space="preserve">7.3 Transparency Statement</w:t>
      </w:r>
    </w:p>
    <w:p>
      <w:pPr>
        <w:pStyle w:val="FirstParagraph"/>
      </w:pPr>
      <w:r>
        <w:t xml:space="preserve">The lead author, Alireza Sadeghi, affirms that this manuscript is an honest, accurate, and</w:t>
      </w:r>
      <w:r>
        <w:t xml:space="preserve"> </w:t>
      </w:r>
      <w:r>
        <w:t xml:space="preserve">transparent account of the study being reported; that no important aspects of the study have been</w:t>
      </w:r>
      <w:r>
        <w:t xml:space="preserve"> </w:t>
      </w:r>
      <w:r>
        <w:t xml:space="preserve">omitted; and that any discrepancies from the study as planned (and, if relevant, registered) have</w:t>
      </w:r>
      <w:r>
        <w:t xml:space="preserve"> </w:t>
      </w:r>
      <w:r>
        <w:t xml:space="preserve">been explained.</w:t>
      </w:r>
    </w:p>
    <w:bookmarkEnd w:id="115"/>
    <w:bookmarkStart w:id="117" w:name="data-availability-statement"/>
    <w:p>
      <w:pPr>
        <w:pStyle w:val="Heading2"/>
      </w:pPr>
      <w:r>
        <w:t xml:space="preserve">7.4 Data Availability Statement</w:t>
      </w:r>
    </w:p>
    <w:p>
      <w:pPr>
        <w:pStyle w:val="FirstParagraph"/>
      </w:pPr>
      <w:r>
        <w:t xml:space="preserve">The data utilized in this study are publicly available through the</w:t>
      </w:r>
      <w:r>
        <w:t xml:space="preserve"> </w:t>
      </w:r>
      <w:hyperlink r:id="rId116">
        <w:r>
          <w:rPr>
            <w:rStyle w:val="Hyperlink"/>
          </w:rPr>
          <w:t xml:space="preserve">Global Burden of Disease (GBD) Study 2021 repository</w:t>
        </w:r>
      </w:hyperlink>
      <w:r>
        <w:t xml:space="preserve">.</w:t>
      </w:r>
      <w:r>
        <w:t xml:space="preserve"> </w:t>
      </w:r>
      <w:r>
        <w:t xml:space="preserve">The data and code used to produce this manuscript</w:t>
      </w:r>
      <w:r>
        <w:t xml:space="preserve"> </w:t>
      </w:r>
      <w:r>
        <w:t xml:space="preserve">are available from the study’s</w:t>
      </w:r>
      <w:r>
        <w:t xml:space="preserve"> </w:t>
      </w:r>
      <w:hyperlink r:id="rId34">
        <w:r>
          <w:rPr>
            <w:rStyle w:val="Hyperlink"/>
          </w:rPr>
          <w:t xml:space="preserve">GitHub repository</w:t>
        </w:r>
      </w:hyperlink>
      <w:r>
        <w:t xml:space="preserve">.</w:t>
      </w:r>
      <w:r>
        <w:t xml:space="preserve"> </w:t>
      </w:r>
      <w:r>
        <w:t xml:space="preserve">Data is available in R’s native binary file format (RDS).</w:t>
      </w:r>
      <w:r>
        <w:t xml:space="preserve"> </w:t>
      </w:r>
      <w:r>
        <w:t xml:space="preserve">To reproduce the manuscript and the results,</w:t>
      </w:r>
      <w:r>
        <w:t xml:space="preserve"> </w:t>
      </w:r>
      <w:r>
        <w:t xml:space="preserve">clone the project repository and render</w:t>
      </w:r>
      <w:r>
        <w:t xml:space="preserve"> </w:t>
      </w:r>
      <w:r>
        <w:rPr>
          <w:i/>
          <w:iCs/>
        </w:rPr>
        <w:t xml:space="preserve">index.qmd</w:t>
      </w:r>
      <w:r>
        <w:t xml:space="preserve"> </w:t>
      </w:r>
      <w:r>
        <w:t xml:space="preserve">file.</w:t>
      </w:r>
    </w:p>
    <w:bookmarkEnd w:id="117"/>
    <w:bookmarkStart w:id="118" w:name="conflicts-of-interest"/>
    <w:p>
      <w:pPr>
        <w:pStyle w:val="Heading2"/>
      </w:pPr>
      <w:r>
        <w:t xml:space="preserve">7.5 Conflicts of Interest</w:t>
      </w:r>
    </w:p>
    <w:p>
      <w:pPr>
        <w:pStyle w:val="FirstParagraph"/>
      </w:pPr>
      <w:r>
        <w:t xml:space="preserve">The authors declare no conflicts of interest.</w:t>
      </w:r>
    </w:p>
    <w:bookmarkEnd w:id="118"/>
    <w:bookmarkEnd w:id="119"/>
    <w:bookmarkStart w:id="277" w:name="references"/>
    <w:p>
      <w:pPr>
        <w:pStyle w:val="Heading1"/>
      </w:pPr>
      <w:r>
        <w:t xml:space="preserve">References</w:t>
      </w:r>
    </w:p>
    <w:bookmarkStart w:id="276" w:name="refs"/>
    <w:bookmarkStart w:id="121"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20">
        <w:r>
          <w:rPr>
            <w:rStyle w:val="Hyperlink"/>
          </w:rPr>
          <w:t xml:space="preserve">https://seer.cancer.gov/statfacts/html/urinb.html</w:t>
        </w:r>
      </w:hyperlink>
    </w:p>
    <w:bookmarkEnd w:id="121"/>
    <w:bookmarkStart w:id="123" w:name="ref-RN2"/>
    <w:p>
      <w:pPr>
        <w:pStyle w:val="Bibliography"/>
      </w:pPr>
      <w:r>
        <w:t xml:space="preserve">2.</w:t>
      </w:r>
      <w:r>
        <w:t xml:space="preserve"> </w:t>
      </w:r>
      <w:r>
        <w:t xml:space="preserve">	</w:t>
      </w:r>
      <w:r>
        <w:t xml:space="preserve">Siegel RL, Miller KD, Jemal A.</w:t>
      </w:r>
      <w:r>
        <w:t xml:space="preserve"> </w:t>
      </w:r>
      <w:hyperlink r:id="rId122">
        <w:r>
          <w:rPr>
            <w:rStyle w:val="Hyperlink"/>
          </w:rPr>
          <w:t xml:space="preserve">Cancer statistics, 2020</w:t>
        </w:r>
      </w:hyperlink>
      <w:r>
        <w:t xml:space="preserve">. CA Cancer J Clin. 2020;70(1):7–30.</w:t>
      </w:r>
      <w:r>
        <w:t xml:space="preserve"> </w:t>
      </w:r>
    </w:p>
    <w:bookmarkEnd w:id="123"/>
    <w:bookmarkStart w:id="125"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24">
        <w:r>
          <w:rPr>
            <w:rStyle w:val="Hyperlink"/>
          </w:rPr>
          <w:t xml:space="preserve">https://doi.org/10.1038/s41598-025-92033-5</w:t>
        </w:r>
      </w:hyperlink>
    </w:p>
    <w:bookmarkEnd w:id="125"/>
    <w:bookmarkStart w:id="127" w:name="ref-RN4"/>
    <w:p>
      <w:pPr>
        <w:pStyle w:val="Bibliography"/>
      </w:pPr>
      <w:r>
        <w:t xml:space="preserve">4.</w:t>
      </w:r>
      <w:r>
        <w:t xml:space="preserve"> </w:t>
      </w:r>
      <w:r>
        <w:t xml:space="preserve">	</w:t>
      </w:r>
      <w:r>
        <w:t xml:space="preserve">Mossanen M, Gore JL.</w:t>
      </w:r>
      <w:r>
        <w:t xml:space="preserve"> </w:t>
      </w:r>
      <w:hyperlink r:id="rId126">
        <w:r>
          <w:rPr>
            <w:rStyle w:val="Hyperlink"/>
          </w:rPr>
          <w:t xml:space="preserve">The burden of bladder cancer care: Direct and indirect costs</w:t>
        </w:r>
      </w:hyperlink>
      <w:r>
        <w:t xml:space="preserve">. Curr Opin Urol. 2014;24(5):487–91.</w:t>
      </w:r>
      <w:r>
        <w:t xml:space="preserve"> </w:t>
      </w:r>
    </w:p>
    <w:bookmarkEnd w:id="127"/>
    <w:bookmarkStart w:id="129" w:name="ref-RN5"/>
    <w:p>
      <w:pPr>
        <w:pStyle w:val="Bibliography"/>
      </w:pPr>
      <w:r>
        <w:t xml:space="preserve">5.</w:t>
      </w:r>
      <w:r>
        <w:t xml:space="preserve"> </w:t>
      </w:r>
      <w:r>
        <w:t xml:space="preserve">	</w:t>
      </w:r>
      <w:r>
        <w:t xml:space="preserve">Svatek RS, Hollenbeck BK, Holmäng S, Lee R, Kim SP, Stenzl A, et al.</w:t>
      </w:r>
      <w:r>
        <w:t xml:space="preserve"> </w:t>
      </w:r>
      <w:hyperlink r:id="rId128">
        <w:r>
          <w:rPr>
            <w:rStyle w:val="Hyperlink"/>
          </w:rPr>
          <w:t xml:space="preserve">The economics of bladder cancer: Costs and considerations of caring for this disease</w:t>
        </w:r>
      </w:hyperlink>
      <w:r>
        <w:t xml:space="preserve">. Eur Urol. 2014;66(2):253–62.</w:t>
      </w:r>
      <w:r>
        <w:t xml:space="preserve"> </w:t>
      </w:r>
    </w:p>
    <w:bookmarkEnd w:id="129"/>
    <w:bookmarkStart w:id="131"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30">
        <w:r>
          <w:rPr>
            <w:rStyle w:val="Hyperlink"/>
          </w:rPr>
          <w:t xml:space="preserve">https://doi.org/10.1007/s40273-023-01273-8</w:t>
        </w:r>
      </w:hyperlink>
    </w:p>
    <w:bookmarkEnd w:id="131"/>
    <w:bookmarkStart w:id="133"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32">
        <w:r>
          <w:rPr>
            <w:rStyle w:val="Hyperlink"/>
          </w:rPr>
          <w:t xml:space="preserve">https://www.sciencedirect.com/science/article/pii/S1078143924004204</w:t>
        </w:r>
      </w:hyperlink>
    </w:p>
    <w:bookmarkEnd w:id="133"/>
    <w:bookmarkStart w:id="135" w:name="ref-RN8"/>
    <w:p>
      <w:pPr>
        <w:pStyle w:val="Bibliography"/>
      </w:pPr>
      <w:r>
        <w:t xml:space="preserve">8.</w:t>
      </w:r>
      <w:r>
        <w:t xml:space="preserve"> </w:t>
      </w:r>
      <w:r>
        <w:t xml:space="preserve">	</w:t>
      </w:r>
      <w:r>
        <w:t xml:space="preserve">Freedman ND, Silverman DT, Hollenbeck AR, Schatzkin A, Abnet CC.</w:t>
      </w:r>
      <w:r>
        <w:t xml:space="preserve"> </w:t>
      </w:r>
      <w:hyperlink r:id="rId134">
        <w:r>
          <w:rPr>
            <w:rStyle w:val="Hyperlink"/>
          </w:rPr>
          <w:t xml:space="preserve">Association between smoking and risk of bladder cancer among men and women</w:t>
        </w:r>
      </w:hyperlink>
      <w:r>
        <w:t xml:space="preserve">. Jama. 2011;306(7):737–45.</w:t>
      </w:r>
      <w:r>
        <w:t xml:space="preserve"> </w:t>
      </w:r>
    </w:p>
    <w:bookmarkEnd w:id="135"/>
    <w:bookmarkStart w:id="137" w:name="ref-RN9"/>
    <w:p>
      <w:pPr>
        <w:pStyle w:val="Bibliography"/>
      </w:pPr>
      <w:r>
        <w:t xml:space="preserve">9.</w:t>
      </w:r>
      <w:r>
        <w:t xml:space="preserve"> </w:t>
      </w:r>
      <w:r>
        <w:t xml:space="preserve">	</w:t>
      </w:r>
      <w:r>
        <w:t xml:space="preserve">Jubber I, Ong S, Bukavina L, Black PC, Compérat E, Kamat AM, et al.</w:t>
      </w:r>
      <w:r>
        <w:t xml:space="preserve"> </w:t>
      </w:r>
      <w:hyperlink r:id="rId136">
        <w:r>
          <w:rPr>
            <w:rStyle w:val="Hyperlink"/>
          </w:rPr>
          <w:t xml:space="preserve">Epidemiology of bladder cancer in 2023: A systematic review of risk factors</w:t>
        </w:r>
      </w:hyperlink>
      <w:r>
        <w:t xml:space="preserve">. Eur Urol. 2023;84(2):176–90.</w:t>
      </w:r>
      <w:r>
        <w:t xml:space="preserve"> </w:t>
      </w:r>
    </w:p>
    <w:bookmarkEnd w:id="137"/>
    <w:bookmarkStart w:id="138" w:name="ref-RN10"/>
    <w:p>
      <w:pPr>
        <w:pStyle w:val="Bibliography"/>
      </w:pPr>
      <w:r>
        <w:t xml:space="preserve">10.</w:t>
      </w:r>
      <w:r>
        <w:t xml:space="preserve"> </w:t>
      </w:r>
      <w:r>
        <w:t xml:space="preserve">	</w:t>
      </w:r>
      <w:r>
        <w:t xml:space="preserve">United States Public Health Service Office of the Surgeon G, National Center for Chronic Disease P, Health Promotion Office on S, Health. Publications and reports of the surgeon general. In: Smoking cessation: A report of the surgeon general. Washington (DC): US Department of Health; Human Services; 2020.</w:t>
      </w:r>
      <w:r>
        <w:t xml:space="preserve"> </w:t>
      </w:r>
    </w:p>
    <w:bookmarkEnd w:id="138"/>
    <w:bookmarkStart w:id="140" w:name="ref-RN11"/>
    <w:p>
      <w:pPr>
        <w:pStyle w:val="Bibliography"/>
      </w:pPr>
      <w:r>
        <w:t xml:space="preserve">11.</w:t>
      </w:r>
      <w:r>
        <w:t xml:space="preserve"> </w:t>
      </w:r>
      <w:r>
        <w:t xml:space="preserve">	</w:t>
      </w:r>
      <w:r>
        <w:t xml:space="preserve">Andrade DP de, Marques CM, Andrade DCR de, Lenzi L, Oliveira CS, Figueiredo BC de. Trends in tobacco smoking and bladder and lung-bronchial cancer rates among non-hispanic white americans (2000–2016). Archives of Public Health [Internet]. 2025;83(1):113. Available from:</w:t>
      </w:r>
      <w:r>
        <w:t xml:space="preserve"> </w:t>
      </w:r>
      <w:hyperlink r:id="rId139">
        <w:r>
          <w:rPr>
            <w:rStyle w:val="Hyperlink"/>
          </w:rPr>
          <w:t xml:space="preserve">https://doi.org/10.1186/s13690-025-01585-5</w:t>
        </w:r>
      </w:hyperlink>
    </w:p>
    <w:bookmarkEnd w:id="140"/>
    <w:bookmarkStart w:id="142" w:name="ref-RN12"/>
    <w:p>
      <w:pPr>
        <w:pStyle w:val="Bibliography"/>
      </w:pPr>
      <w:r>
        <w:t xml:space="preserve">12.</w:t>
      </w:r>
      <w:r>
        <w:t xml:space="preserve"> </w:t>
      </w:r>
      <w:r>
        <w:t xml:space="preserve">	</w:t>
      </w:r>
      <w:r>
        <w:t xml:space="preserve">Baris D, Waddell R, Beane Freeman LE, Schwenn M, Colt JS, Ayotte JD, et al.</w:t>
      </w:r>
      <w:r>
        <w:t xml:space="preserve"> </w:t>
      </w:r>
      <w:hyperlink r:id="rId141">
        <w:r>
          <w:rPr>
            <w:rStyle w:val="Hyperlink"/>
          </w:rPr>
          <w:t xml:space="preserve">Elevated bladder cancer in northern new england: The role of drinking water and arsenic</w:t>
        </w:r>
      </w:hyperlink>
      <w:r>
        <w:t xml:space="preserve">. J Natl Cancer Inst. 2016;108(9).</w:t>
      </w:r>
      <w:r>
        <w:t xml:space="preserve"> </w:t>
      </w:r>
    </w:p>
    <w:bookmarkEnd w:id="142"/>
    <w:bookmarkStart w:id="144" w:name="ref-RN13"/>
    <w:p>
      <w:pPr>
        <w:pStyle w:val="Bibliography"/>
      </w:pPr>
      <w:r>
        <w:t xml:space="preserve">13.</w:t>
      </w:r>
      <w:r>
        <w:t xml:space="preserve"> </w:t>
      </w:r>
      <w:r>
        <w:t xml:space="preserve">	</w:t>
      </w:r>
      <w:r>
        <w:t xml:space="preserve">Beane Freeman LE, Cantor KP, Baris D, Nuckols JR, Johnson A, Colt JS, et al.</w:t>
      </w:r>
      <w:r>
        <w:t xml:space="preserve"> </w:t>
      </w:r>
      <w:hyperlink r:id="rId143">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144"/>
    <w:bookmarkStart w:id="146" w:name="ref-RN14"/>
    <w:p>
      <w:pPr>
        <w:pStyle w:val="Bibliography"/>
      </w:pPr>
      <w:r>
        <w:t xml:space="preserve">14.</w:t>
      </w:r>
      <w:r>
        <w:t xml:space="preserve"> </w:t>
      </w:r>
      <w:r>
        <w:t xml:space="preserve">	</w:t>
      </w:r>
      <w:r>
        <w:t xml:space="preserve">Amin RW, Stafford B, Guttmann RP.</w:t>
      </w:r>
      <w:r>
        <w:t xml:space="preserve"> </w:t>
      </w:r>
      <w:hyperlink r:id="rId145">
        <w:r>
          <w:rPr>
            <w:rStyle w:val="Hyperlink"/>
          </w:rPr>
          <w:t xml:space="preserve">A spatial study of bladder cancer mortality and incidence in the contiguous US: 2000-2014</w:t>
        </w:r>
      </w:hyperlink>
      <w:r>
        <w:t xml:space="preserve">. Sci Total Environ. 2019;670:806–13.</w:t>
      </w:r>
      <w:r>
        <w:t xml:space="preserve"> </w:t>
      </w:r>
    </w:p>
    <w:bookmarkEnd w:id="146"/>
    <w:bookmarkStart w:id="148" w:name="ref-RN15"/>
    <w:p>
      <w:pPr>
        <w:pStyle w:val="Bibliography"/>
      </w:pPr>
      <w:r>
        <w:t xml:space="preserve">15.</w:t>
      </w:r>
      <w:r>
        <w:t xml:space="preserve"> </w:t>
      </w:r>
      <w:r>
        <w:t xml:space="preserve">	</w:t>
      </w:r>
      <w:r>
        <w:t xml:space="preserve">Ghazwani Y, Alghafees M, Suheb MK, Shafqat A, Sabbah BN, Arabi TZ, et al.</w:t>
      </w:r>
      <w:r>
        <w:t xml:space="preserve"> </w:t>
      </w:r>
      <w:hyperlink r:id="rId14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48"/>
    <w:bookmarkStart w:id="150" w:name="ref-RN16"/>
    <w:p>
      <w:pPr>
        <w:pStyle w:val="Bibliography"/>
      </w:pPr>
      <w:r>
        <w:t xml:space="preserve">16.</w:t>
      </w:r>
      <w:r>
        <w:t xml:space="preserve"> </w:t>
      </w:r>
      <w:r>
        <w:t xml:space="preserve">	</w:t>
      </w:r>
      <w:r>
        <w:t xml:space="preserve">Schafer EJ, Jemal A, Wiese D, Sung H, Kratzer TB, Islami F, et al.</w:t>
      </w:r>
      <w:r>
        <w:t xml:space="preserve"> </w:t>
      </w:r>
      <w:hyperlink r:id="rId149">
        <w:r>
          <w:rPr>
            <w:rStyle w:val="Hyperlink"/>
          </w:rPr>
          <w:t xml:space="preserve">Disparities and trends in genitourinary cancer incidence and mortality in the USA</w:t>
        </w:r>
      </w:hyperlink>
      <w:r>
        <w:t xml:space="preserve">. Eur Urol. 2023;84(1):117–26.</w:t>
      </w:r>
      <w:r>
        <w:t xml:space="preserve"> </w:t>
      </w:r>
    </w:p>
    <w:bookmarkEnd w:id="150"/>
    <w:bookmarkStart w:id="152" w:name="ref-RN17"/>
    <w:p>
      <w:pPr>
        <w:pStyle w:val="Bibliography"/>
      </w:pPr>
      <w:r>
        <w:t xml:space="preserve">17.</w:t>
      </w:r>
      <w:r>
        <w:t xml:space="preserve"> </w:t>
      </w:r>
      <w:r>
        <w:t xml:space="preserve">	</w:t>
      </w:r>
      <w:r>
        <w:t xml:space="preserve">Smith ND, Prasad SM, Patel AR, Weiner AB, Pariser JJ, Razmaria A, et al.</w:t>
      </w:r>
      <w:r>
        <w:t xml:space="preserve"> </w:t>
      </w:r>
      <w:hyperlink r:id="rId15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52"/>
    <w:bookmarkStart w:id="154" w:name="ref-RN18"/>
    <w:p>
      <w:pPr>
        <w:pStyle w:val="Bibliography"/>
      </w:pPr>
      <w:r>
        <w:t xml:space="preserve">18.</w:t>
      </w:r>
      <w:r>
        <w:t xml:space="preserve"> </w:t>
      </w:r>
      <w:r>
        <w:t xml:space="preserve">	</w:t>
      </w:r>
      <w:r>
        <w:t xml:space="preserve">Prevention NCI&amp;C for DC and. State cancer profiles [Internet]. Vol. 2025. 2023. Available from:</w:t>
      </w:r>
      <w:r>
        <w:t xml:space="preserve"> </w:t>
      </w:r>
      <w:hyperlink r:id="rId153">
        <w:r>
          <w:rPr>
            <w:rStyle w:val="Hyperlink"/>
          </w:rPr>
          <w:t xml:space="preserve">https://statecancerprofiles.cancer.gov/index.html</w:t>
        </w:r>
      </w:hyperlink>
    </w:p>
    <w:bookmarkEnd w:id="154"/>
    <w:bookmarkStart w:id="156" w:name="ref-RN19"/>
    <w:p>
      <w:pPr>
        <w:pStyle w:val="Bibliography"/>
      </w:pPr>
      <w:r>
        <w:t xml:space="preserve">19.</w:t>
      </w:r>
      <w:r>
        <w:t xml:space="preserve"> </w:t>
      </w:r>
      <w:r>
        <w:t xml:space="preserve">	</w:t>
      </w:r>
      <w:r>
        <w:t xml:space="preserve">Pompa IR, Qi D, Ghosh A, Goldberg SI, Chino F, Efstathiou JA, et al.</w:t>
      </w:r>
      <w:r>
        <w:t xml:space="preserve"> </w:t>
      </w:r>
      <w:hyperlink r:id="rId155">
        <w:r>
          <w:rPr>
            <w:rStyle w:val="Hyperlink"/>
          </w:rPr>
          <w:t xml:space="preserve">Longitudinal analysis of bladder cancer-specific mortality trends in the united states</w:t>
        </w:r>
      </w:hyperlink>
      <w:r>
        <w:t xml:space="preserve">. Bladder Cancer. 2023;9(4):345–53.</w:t>
      </w:r>
      <w:r>
        <w:t xml:space="preserve"> </w:t>
      </w:r>
    </w:p>
    <w:bookmarkEnd w:id="156"/>
    <w:bookmarkStart w:id="158" w:name="ref-RN20"/>
    <w:p>
      <w:pPr>
        <w:pStyle w:val="Bibliography"/>
      </w:pPr>
      <w:r>
        <w:t xml:space="preserve">20.</w:t>
      </w:r>
      <w:r>
        <w:t xml:space="preserve"> </w:t>
      </w:r>
      <w:r>
        <w:t xml:space="preserve">	</w:t>
      </w:r>
      <w:r>
        <w:t xml:space="preserve">Hasan S, Lazarev S, Garg M, Mehta K, Press RH, Chhabra A, et al.</w:t>
      </w:r>
      <w:r>
        <w:t xml:space="preserve"> </w:t>
      </w:r>
      <w:hyperlink r:id="rId157">
        <w:r>
          <w:rPr>
            <w:rStyle w:val="Hyperlink"/>
          </w:rPr>
          <w:t xml:space="preserve">Racial inequity and other social disparities in the diagnosis and management of bladder cancer</w:t>
        </w:r>
      </w:hyperlink>
      <w:r>
        <w:t xml:space="preserve">. Cancer Med. 2023;12(1):640–50.</w:t>
      </w:r>
      <w:r>
        <w:t xml:space="preserve"> </w:t>
      </w:r>
    </w:p>
    <w:bookmarkEnd w:id="158"/>
    <w:bookmarkStart w:id="160" w:name="ref-RN22"/>
    <w:p>
      <w:pPr>
        <w:pStyle w:val="Bibliography"/>
      </w:pPr>
      <w:r>
        <w:t xml:space="preserve">21.</w:t>
      </w:r>
      <w:r>
        <w:t xml:space="preserve"> </w:t>
      </w:r>
      <w:r>
        <w:t xml:space="preserve">	</w:t>
      </w:r>
      <w:r>
        <w:t xml:space="preserve">Sung H, Ferlay J, Siegel RL, Laversanne M, Soerjomataram I, Jemal A, et al.</w:t>
      </w:r>
      <w:r>
        <w:t xml:space="preserve"> </w:t>
      </w:r>
      <w:hyperlink r:id="rId15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60"/>
    <w:bookmarkStart w:id="162" w:name="ref-RN23"/>
    <w:p>
      <w:pPr>
        <w:pStyle w:val="Bibliography"/>
      </w:pPr>
      <w:r>
        <w:t xml:space="preserve">22.</w:t>
      </w:r>
      <w:r>
        <w:t xml:space="preserve"> </w:t>
      </w:r>
      <w:r>
        <w:t xml:space="preserve">	</w:t>
      </w:r>
      <w:r>
        <w:t xml:space="preserve">Liu S, Yang T, Na R, Hu M, Zhang L, Fu Y, et al.</w:t>
      </w:r>
      <w:r>
        <w:t xml:space="preserve"> </w:t>
      </w:r>
      <w:hyperlink r:id="rId16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62"/>
    <w:bookmarkStart w:id="164" w:name="ref-naghavi2024"/>
    <w:p>
      <w:pPr>
        <w:pStyle w:val="Bibliography"/>
      </w:pPr>
      <w:r>
        <w:t xml:space="preserve">23.</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63">
        <w:r>
          <w:rPr>
            <w:rStyle w:val="Hyperlink"/>
          </w:rPr>
          <w:t xml:space="preserve">http://dx.doi.org/10.1016/s0140-6736(24)00367-2</w:t>
        </w:r>
      </w:hyperlink>
    </w:p>
    <w:bookmarkEnd w:id="164"/>
    <w:bookmarkStart w:id="166" w:name="ref-allaire2024b"/>
    <w:p>
      <w:pPr>
        <w:pStyle w:val="Bibliography"/>
      </w:pPr>
      <w:r>
        <w:t xml:space="preserve">24.</w:t>
      </w:r>
      <w:r>
        <w:t xml:space="preserve"> </w:t>
      </w:r>
      <w:r>
        <w:t xml:space="preserve">	</w:t>
      </w:r>
      <w:r>
        <w:t xml:space="preserve">Allaire J, Xie Y, Dervieux C, McPherson J, Luraschi J, Ushey K, et al. Rmarkdown: Dynamic documents for r [Internet]. 2024. Available from:</w:t>
      </w:r>
      <w:r>
        <w:t xml:space="preserve"> </w:t>
      </w:r>
      <w:hyperlink r:id="rId165">
        <w:r>
          <w:rPr>
            <w:rStyle w:val="Hyperlink"/>
          </w:rPr>
          <w:t xml:space="preserve">https://github.com/rstudio/rmarkdown</w:t>
        </w:r>
      </w:hyperlink>
    </w:p>
    <w:bookmarkEnd w:id="166"/>
    <w:bookmarkStart w:id="167" w:name="ref-allaire2024c"/>
    <w:p>
      <w:pPr>
        <w:pStyle w:val="Bibliography"/>
      </w:pPr>
      <w:r>
        <w:t xml:space="preserve">25.</w:t>
      </w:r>
      <w:r>
        <w:t xml:space="preserve"> </w:t>
      </w:r>
      <w:r>
        <w:t xml:space="preserve">	</w:t>
      </w:r>
      <w:r>
        <w:t xml:space="preserve">Allaire J, Xie Y, Dervieux C, McPherson J, Luraschi J, Ushey K, et al. Rmarkdown: Dynamic documents for r [Internet]. 2024. Available from:</w:t>
      </w:r>
      <w:r>
        <w:t xml:space="preserve"> </w:t>
      </w:r>
      <w:hyperlink r:id="rId165">
        <w:r>
          <w:rPr>
            <w:rStyle w:val="Hyperlink"/>
          </w:rPr>
          <w:t xml:space="preserve">https://github.com/rstudio/rmarkdown</w:t>
        </w:r>
      </w:hyperlink>
    </w:p>
    <w:bookmarkEnd w:id="167"/>
    <w:bookmarkStart w:id="169" w:name="ref-atkins2025b"/>
    <w:p>
      <w:pPr>
        <w:pStyle w:val="Bibliography"/>
      </w:pPr>
      <w:r>
        <w:t xml:space="preserve">26.</w:t>
      </w:r>
      <w:r>
        <w:t xml:space="preserve"> </w:t>
      </w:r>
      <w:r>
        <w:t xml:space="preserve">	</w:t>
      </w:r>
      <w:r>
        <w:t xml:space="preserve">Atkins A, Allen T, Wickham H, McPherson J, Allaire J. Rsconnect: Deploy docs, apps, and apis to ’posit connect’, ’shinyapps.io’, and ’rpubs’ [Internet]. 2025. Available from:</w:t>
      </w:r>
      <w:r>
        <w:t xml:space="preserve"> </w:t>
      </w:r>
      <w:hyperlink r:id="rId168">
        <w:r>
          <w:rPr>
            <w:rStyle w:val="Hyperlink"/>
          </w:rPr>
          <w:t xml:space="preserve">https://CRAN.R-project.org/package=rsconnect</w:t>
        </w:r>
      </w:hyperlink>
    </w:p>
    <w:bookmarkEnd w:id="169"/>
    <w:bookmarkStart w:id="171" w:name="ref-attali2021a"/>
    <w:p>
      <w:pPr>
        <w:pStyle w:val="Bibliography"/>
      </w:pPr>
      <w:r>
        <w:t xml:space="preserve">27.</w:t>
      </w:r>
      <w:r>
        <w:t xml:space="preserve"> </w:t>
      </w:r>
      <w:r>
        <w:t xml:space="preserve">	</w:t>
      </w:r>
      <w:r>
        <w:t xml:space="preserve">Attali D. Shinyjs: Easily improve the user experience of your shiny apps in seconds [Internet]. 2021. Available from:</w:t>
      </w:r>
      <w:r>
        <w:t xml:space="preserve"> </w:t>
      </w:r>
      <w:hyperlink r:id="rId170">
        <w:r>
          <w:rPr>
            <w:rStyle w:val="Hyperlink"/>
          </w:rPr>
          <w:t xml:space="preserve">https://CRAN.R-project.org/package=shinyjs</w:t>
        </w:r>
      </w:hyperlink>
    </w:p>
    <w:bookmarkEnd w:id="171"/>
    <w:bookmarkStart w:id="173" w:name="ref-bååth2024a"/>
    <w:p>
      <w:pPr>
        <w:pStyle w:val="Bibliography"/>
      </w:pPr>
      <w:r>
        <w:t xml:space="preserve">28.</w:t>
      </w:r>
      <w:r>
        <w:t xml:space="preserve"> </w:t>
      </w:r>
      <w:r>
        <w:t xml:space="preserve">	</w:t>
      </w:r>
      <w:r>
        <w:t xml:space="preserve">Bååth R. Beepr: Easily play notification sounds on any platform [Internet]. 2024. Available from:</w:t>
      </w:r>
      <w:r>
        <w:t xml:space="preserve"> </w:t>
      </w:r>
      <w:hyperlink r:id="rId172">
        <w:r>
          <w:rPr>
            <w:rStyle w:val="Hyperlink"/>
          </w:rPr>
          <w:t xml:space="preserve">https://CRAN.R-project.org/package=beepr</w:t>
        </w:r>
      </w:hyperlink>
    </w:p>
    <w:bookmarkEnd w:id="173"/>
    <w:bookmarkStart w:id="175" w:name="ref-campitelli2025a"/>
    <w:p>
      <w:pPr>
        <w:pStyle w:val="Bibliography"/>
      </w:pPr>
      <w:r>
        <w:t xml:space="preserve">29.</w:t>
      </w:r>
      <w:r>
        <w:t xml:space="preserve"> </w:t>
      </w:r>
      <w:r>
        <w:t xml:space="preserve">	</w:t>
      </w:r>
      <w:r>
        <w:t xml:space="preserve">Campitelli E. Ggnewscale: Multiple fill and colour scales in ’ggplot2’ [Internet]. 2025. Available from:</w:t>
      </w:r>
      <w:r>
        <w:t xml:space="preserve"> </w:t>
      </w:r>
      <w:hyperlink r:id="rId174">
        <w:r>
          <w:rPr>
            <w:rStyle w:val="Hyperlink"/>
          </w:rPr>
          <w:t xml:space="preserve">https://CRAN.R-project.org/package=ggnewscale</w:t>
        </w:r>
      </w:hyperlink>
    </w:p>
    <w:bookmarkEnd w:id="175"/>
    <w:bookmarkStart w:id="177" w:name="ref-chang2025a"/>
    <w:p>
      <w:pPr>
        <w:pStyle w:val="Bibliography"/>
      </w:pPr>
      <w:r>
        <w:t xml:space="preserve">30.</w:t>
      </w:r>
      <w:r>
        <w:t xml:space="preserve"> </w:t>
      </w:r>
      <w:r>
        <w:t xml:space="preserve">	</w:t>
      </w:r>
      <w:r>
        <w:t xml:space="preserve">Chang W, Cheng J, Allaire J, Sievert C, Schloerke B, Xie Y, et al. Shiny: Web application framework for r [Internet]. 2025. Available from:</w:t>
      </w:r>
      <w:r>
        <w:t xml:space="preserve"> </w:t>
      </w:r>
      <w:hyperlink r:id="rId176">
        <w:r>
          <w:rPr>
            <w:rStyle w:val="Hyperlink"/>
          </w:rPr>
          <w:t xml:space="preserve">https://CRAN.R-project.org/package=shiny</w:t>
        </w:r>
      </w:hyperlink>
    </w:p>
    <w:bookmarkEnd w:id="177"/>
    <w:bookmarkStart w:id="179" w:name="ref-gohel2025a"/>
    <w:p>
      <w:pPr>
        <w:pStyle w:val="Bibliography"/>
      </w:pPr>
      <w:r>
        <w:t xml:space="preserve">31.</w:t>
      </w:r>
      <w:r>
        <w:t xml:space="preserve"> </w:t>
      </w:r>
      <w:r>
        <w:t xml:space="preserve">	</w:t>
      </w:r>
      <w:r>
        <w:t xml:space="preserve">Gohel D, Moog S, Heckmann M. Officer: Manipulation of microsoft word and PowerPoint documents [Internet]. 2025. Available from:</w:t>
      </w:r>
      <w:r>
        <w:t xml:space="preserve"> </w:t>
      </w:r>
      <w:hyperlink r:id="rId178">
        <w:r>
          <w:rPr>
            <w:rStyle w:val="Hyperlink"/>
          </w:rPr>
          <w:t xml:space="preserve">https://CRAN.R-project.org/package=officer</w:t>
        </w:r>
      </w:hyperlink>
    </w:p>
    <w:bookmarkEnd w:id="179"/>
    <w:bookmarkStart w:id="181" w:name="ref-hafen2025"/>
    <w:p>
      <w:pPr>
        <w:pStyle w:val="Bibliography"/>
      </w:pPr>
      <w:r>
        <w:t xml:space="preserve">32.</w:t>
      </w:r>
      <w:r>
        <w:t xml:space="preserve"> </w:t>
      </w:r>
      <w:r>
        <w:t xml:space="preserve">	</w:t>
      </w:r>
      <w:r>
        <w:t xml:space="preserve">Hafen R. Geofacet: ’ggplot2’ faceting utilities for geographical data [Internet]. 2025. Available from:</w:t>
      </w:r>
      <w:r>
        <w:t xml:space="preserve"> </w:t>
      </w:r>
      <w:hyperlink r:id="rId180">
        <w:r>
          <w:rPr>
            <w:rStyle w:val="Hyperlink"/>
          </w:rPr>
          <w:t xml:space="preserve">https://CRAN.R-project.org/package=geofacet</w:t>
        </w:r>
      </w:hyperlink>
    </w:p>
    <w:bookmarkEnd w:id="181"/>
    <w:bookmarkStart w:id="183" w:name="ref-hester2024"/>
    <w:p>
      <w:pPr>
        <w:pStyle w:val="Bibliography"/>
      </w:pPr>
      <w:r>
        <w:t xml:space="preserve">33.</w:t>
      </w:r>
      <w:r>
        <w:t xml:space="preserve"> </w:t>
      </w:r>
      <w:r>
        <w:t xml:space="preserve">	</w:t>
      </w:r>
      <w:r>
        <w:t xml:space="preserve">Hester J, Bryan J. Glue: Interpreted string literals [Internet]. 2024. Available from:</w:t>
      </w:r>
      <w:r>
        <w:t xml:space="preserve"> </w:t>
      </w:r>
      <w:hyperlink r:id="rId182">
        <w:r>
          <w:rPr>
            <w:rStyle w:val="Hyperlink"/>
          </w:rPr>
          <w:t xml:space="preserve">https://CRAN.R-project.org/package=glue</w:t>
        </w:r>
      </w:hyperlink>
    </w:p>
    <w:bookmarkEnd w:id="183"/>
    <w:bookmarkStart w:id="185" w:name="ref-hughes2022"/>
    <w:p>
      <w:pPr>
        <w:pStyle w:val="Bibliography"/>
      </w:pPr>
      <w:r>
        <w:t xml:space="preserve">34.</w:t>
      </w:r>
      <w:r>
        <w:t xml:space="preserve"> </w:t>
      </w:r>
      <w:r>
        <w:t xml:space="preserve">	</w:t>
      </w:r>
      <w:r>
        <w:t xml:space="preserve">Hughes E. Camcorder: Record your plot history [Internet]. 2022. Available from:</w:t>
      </w:r>
      <w:r>
        <w:t xml:space="preserve"> </w:t>
      </w:r>
      <w:hyperlink r:id="rId184">
        <w:r>
          <w:rPr>
            <w:rStyle w:val="Hyperlink"/>
          </w:rPr>
          <w:t xml:space="preserve">https://CRAN.R-project.org/package=camcorder</w:t>
        </w:r>
      </w:hyperlink>
    </w:p>
    <w:bookmarkEnd w:id="185"/>
    <w:bookmarkStart w:id="187" w:name="ref-hvitfeldt2021"/>
    <w:p>
      <w:pPr>
        <w:pStyle w:val="Bibliography"/>
      </w:pPr>
      <w:r>
        <w:t xml:space="preserve">35.</w:t>
      </w:r>
      <w:r>
        <w:t xml:space="preserve"> </w:t>
      </w:r>
      <w:r>
        <w:t xml:space="preserve">	</w:t>
      </w:r>
      <w:r>
        <w:t xml:space="preserve">Hvitfeldt E. Paletteer: Comprehensive collection of color palettes [Internet]. 2021. Available from:</w:t>
      </w:r>
      <w:r>
        <w:t xml:space="preserve"> </w:t>
      </w:r>
      <w:hyperlink r:id="rId186">
        <w:r>
          <w:rPr>
            <w:rStyle w:val="Hyperlink"/>
          </w:rPr>
          <w:t xml:space="preserve">https://github.com/EmilHvitfeldt/paletteer</w:t>
        </w:r>
      </w:hyperlink>
    </w:p>
    <w:bookmarkEnd w:id="187"/>
    <w:bookmarkStart w:id="189" w:name="ref-müller2025"/>
    <w:p>
      <w:pPr>
        <w:pStyle w:val="Bibliography"/>
      </w:pPr>
      <w:r>
        <w:t xml:space="preserve">36.</w:t>
      </w:r>
      <w:r>
        <w:t xml:space="preserve"> </w:t>
      </w:r>
      <w:r>
        <w:t xml:space="preserve">	</w:t>
      </w:r>
      <w:r>
        <w:t xml:space="preserve">Müller K, Wickham H. Tibble: Simple data frames [Internet]. 2025. Available from:</w:t>
      </w:r>
      <w:r>
        <w:t xml:space="preserve"> </w:t>
      </w:r>
      <w:hyperlink r:id="rId188">
        <w:r>
          <w:rPr>
            <w:rStyle w:val="Hyperlink"/>
          </w:rPr>
          <w:t xml:space="preserve">https://CRAN.R-project.org/package=tibble</w:t>
        </w:r>
      </w:hyperlink>
    </w:p>
    <w:bookmarkEnd w:id="189"/>
    <w:bookmarkStart w:id="191" w:name="ref-pedersen2025"/>
    <w:p>
      <w:pPr>
        <w:pStyle w:val="Bibliography"/>
      </w:pPr>
      <w:r>
        <w:t xml:space="preserve">37.</w:t>
      </w:r>
      <w:r>
        <w:t xml:space="preserve"> </w:t>
      </w:r>
      <w:r>
        <w:t xml:space="preserve">	</w:t>
      </w:r>
      <w:r>
        <w:t xml:space="preserve">Pedersen TL, Robinson D. Gganimate: A grammar of animated graphics [Internet]. 2025. Available from:</w:t>
      </w:r>
      <w:r>
        <w:t xml:space="preserve"> </w:t>
      </w:r>
      <w:hyperlink r:id="rId190">
        <w:r>
          <w:rPr>
            <w:rStyle w:val="Hyperlink"/>
          </w:rPr>
          <w:t xml:space="preserve">https://CRAN.R-project.org/package=gganimate</w:t>
        </w:r>
      </w:hyperlink>
    </w:p>
    <w:bookmarkEnd w:id="191"/>
    <w:bookmarkStart w:id="193" w:name="ref-richardson2025"/>
    <w:p>
      <w:pPr>
        <w:pStyle w:val="Bibliography"/>
      </w:pPr>
      <w:r>
        <w:t xml:space="preserve">38.</w:t>
      </w:r>
      <w:r>
        <w:t xml:space="preserve"> </w:t>
      </w:r>
      <w:r>
        <w:t xml:space="preserve">	</w:t>
      </w:r>
      <w:r>
        <w:t xml:space="preserve">Richardson N, Cook I, Crane N, Dunnington D, François R, Keane J, et al. Arrow: Integration to ’apache’ ’arrow’ [Internet]. 2025. Available from:</w:t>
      </w:r>
      <w:r>
        <w:t xml:space="preserve"> </w:t>
      </w:r>
      <w:hyperlink r:id="rId192">
        <w:r>
          <w:rPr>
            <w:rStyle w:val="Hyperlink"/>
          </w:rPr>
          <w:t xml:space="preserve">https://CRAN.R-project.org/package=arrow</w:t>
        </w:r>
      </w:hyperlink>
    </w:p>
    <w:bookmarkEnd w:id="193"/>
    <w:bookmarkStart w:id="195" w:name="ref-RJ-2021-048"/>
    <w:p>
      <w:pPr>
        <w:pStyle w:val="Bibliography"/>
      </w:pPr>
      <w:r>
        <w:t xml:space="preserve">39.</w:t>
      </w:r>
      <w:r>
        <w:t xml:space="preserve"> </w:t>
      </w:r>
      <w:r>
        <w:t xml:space="preserve">	</w:t>
      </w:r>
      <w:r>
        <w:t xml:space="preserve">Bengtsson H. A unifying framework for parallel and distributed processing in r using futures. The R Journal [Internet]. 2021;13(2):208227. Available from:</w:t>
      </w:r>
      <w:r>
        <w:t xml:space="preserve"> </w:t>
      </w:r>
      <w:hyperlink r:id="rId194">
        <w:r>
          <w:rPr>
            <w:rStyle w:val="Hyperlink"/>
          </w:rPr>
          <w:t xml:space="preserve">https://doi.org/10.32614/RJ-2021-048</w:t>
        </w:r>
      </w:hyperlink>
    </w:p>
    <w:bookmarkEnd w:id="195"/>
    <w:bookmarkStart w:id="197" w:name="ref-sievert2025"/>
    <w:p>
      <w:pPr>
        <w:pStyle w:val="Bibliography"/>
      </w:pPr>
      <w:r>
        <w:t xml:space="preserve">40.</w:t>
      </w:r>
      <w:r>
        <w:t xml:space="preserve"> </w:t>
      </w:r>
      <w:r>
        <w:t xml:space="preserve">	</w:t>
      </w:r>
      <w:r>
        <w:t xml:space="preserve">Sievert C, Cheng J, Aden-Buie G. Bslib: Custom ’bootstrap’ ’sass’ themes for ’shiny’ and ’rmarkdown’ [Internet]. 2025. Available from:</w:t>
      </w:r>
      <w:r>
        <w:t xml:space="preserve"> </w:t>
      </w:r>
      <w:hyperlink r:id="rId196">
        <w:r>
          <w:rPr>
            <w:rStyle w:val="Hyperlink"/>
          </w:rPr>
          <w:t xml:space="preserve">https://CRAN.R-project.org/package=bslib</w:t>
        </w:r>
      </w:hyperlink>
    </w:p>
    <w:bookmarkEnd w:id="197"/>
    <w:bookmarkStart w:id="199" w:name="ref-sjoberg2020"/>
    <w:p>
      <w:pPr>
        <w:pStyle w:val="Bibliography"/>
      </w:pPr>
      <w:r>
        <w:t xml:space="preserve">41.</w:t>
      </w:r>
      <w:r>
        <w:t xml:space="preserve"> </w:t>
      </w:r>
      <w:r>
        <w:t xml:space="preserve">	</w:t>
      </w:r>
      <w:r>
        <w:t xml:space="preserve">Sjoberg D. Ggbump: Bump chart and sigmoid curves [Internet]. 2020. Available from:</w:t>
      </w:r>
      <w:r>
        <w:t xml:space="preserve"> </w:t>
      </w:r>
      <w:hyperlink r:id="rId198">
        <w:r>
          <w:rPr>
            <w:rStyle w:val="Hyperlink"/>
          </w:rPr>
          <w:t xml:space="preserve">https://CRAN.R-project.org/package=ggbump</w:t>
        </w:r>
      </w:hyperlink>
    </w:p>
    <w:bookmarkEnd w:id="199"/>
    <w:bookmarkStart w:id="201" w:name="ref-vaughan2022"/>
    <w:p>
      <w:pPr>
        <w:pStyle w:val="Bibliography"/>
      </w:pPr>
      <w:r>
        <w:t xml:space="preserve">42.</w:t>
      </w:r>
      <w:r>
        <w:t xml:space="preserve"> </w:t>
      </w:r>
      <w:r>
        <w:t xml:space="preserve">	</w:t>
      </w:r>
      <w:r>
        <w:t xml:space="preserve">Vaughan D, Dancho M. Furrr: Apply mapping functions in parallel using futures [Internet]. 2022. Available from:</w:t>
      </w:r>
      <w:r>
        <w:t xml:space="preserve"> </w:t>
      </w:r>
      <w:hyperlink r:id="rId200">
        <w:r>
          <w:rPr>
            <w:rStyle w:val="Hyperlink"/>
          </w:rPr>
          <w:t xml:space="preserve">https://CRAN.R-project.org/package=furrr</w:t>
        </w:r>
      </w:hyperlink>
    </w:p>
    <w:bookmarkEnd w:id="201"/>
    <w:bookmarkStart w:id="203" w:name="ref-wickham2016"/>
    <w:p>
      <w:pPr>
        <w:pStyle w:val="Bibliography"/>
      </w:pPr>
      <w:r>
        <w:t xml:space="preserve">43.</w:t>
      </w:r>
      <w:r>
        <w:t xml:space="preserve"> </w:t>
      </w:r>
      <w:r>
        <w:t xml:space="preserve">	</w:t>
      </w:r>
      <w:r>
        <w:t xml:space="preserve">Wickham H. ggplot2: Elegant graphics for data analysis [Internet]. Springer-Verlag New York; 2016. Available from:</w:t>
      </w:r>
      <w:r>
        <w:t xml:space="preserve"> </w:t>
      </w:r>
      <w:hyperlink r:id="rId202">
        <w:r>
          <w:rPr>
            <w:rStyle w:val="Hyperlink"/>
          </w:rPr>
          <w:t xml:space="preserve">https://ggplot2.tidyverse.org</w:t>
        </w:r>
      </w:hyperlink>
    </w:p>
    <w:bookmarkEnd w:id="203"/>
    <w:bookmarkStart w:id="205" w:name="ref-wickham2019"/>
    <w:p>
      <w:pPr>
        <w:pStyle w:val="Bibliography"/>
      </w:pPr>
      <w:r>
        <w:t xml:space="preserve">44.</w:t>
      </w:r>
      <w:r>
        <w:t xml:space="preserve"> </w:t>
      </w:r>
      <w:r>
        <w:t xml:space="preserve">	</w:t>
      </w:r>
      <w:r>
        <w:t xml:space="preserve">Wickham H, Averick M, Bryan J, Chang W, McGowan LD, François R, et al.</w:t>
      </w:r>
      <w:r>
        <w:t xml:space="preserve"> </w:t>
      </w:r>
      <w:hyperlink r:id="rId204">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205"/>
    <w:bookmarkStart w:id="207" w:name="ref-wickham2023"/>
    <w:p>
      <w:pPr>
        <w:pStyle w:val="Bibliography"/>
      </w:pPr>
      <w:r>
        <w:t xml:space="preserve">45.</w:t>
      </w:r>
      <w:r>
        <w:t xml:space="preserve"> </w:t>
      </w:r>
      <w:r>
        <w:t xml:space="preserve">	</w:t>
      </w:r>
      <w:r>
        <w:t xml:space="preserve">Wickham H, François R, Henry L, Müller K, Vaughan D. Dplyr: A grammar of data manipulation [Internet]. 2023. Available from:</w:t>
      </w:r>
      <w:r>
        <w:t xml:space="preserve"> </w:t>
      </w:r>
      <w:hyperlink r:id="rId206">
        <w:r>
          <w:rPr>
            <w:rStyle w:val="Hyperlink"/>
          </w:rPr>
          <w:t xml:space="preserve">https://CRAN.R-project.org/package=dplyr</w:t>
        </w:r>
      </w:hyperlink>
    </w:p>
    <w:bookmarkEnd w:id="207"/>
    <w:bookmarkStart w:id="209" w:name="ref-wickham2025"/>
    <w:p>
      <w:pPr>
        <w:pStyle w:val="Bibliography"/>
      </w:pPr>
      <w:r>
        <w:t xml:space="preserve">46.</w:t>
      </w:r>
      <w:r>
        <w:t xml:space="preserve"> </w:t>
      </w:r>
      <w:r>
        <w:t xml:space="preserve">	</w:t>
      </w:r>
      <w:r>
        <w:t xml:space="preserve">Wickham H, Pedersen TL, Seidel D. Scales: Scale functions for visualization [Internet]. 2025. Available from:</w:t>
      </w:r>
      <w:r>
        <w:t xml:space="preserve"> </w:t>
      </w:r>
      <w:hyperlink r:id="rId208">
        <w:r>
          <w:rPr>
            <w:rStyle w:val="Hyperlink"/>
          </w:rPr>
          <w:t xml:space="preserve">https://CRAN.R-project.org/package=scales</w:t>
        </w:r>
      </w:hyperlink>
    </w:p>
    <w:bookmarkEnd w:id="209"/>
    <w:bookmarkStart w:id="211" w:name="ref-wilke2022"/>
    <w:p>
      <w:pPr>
        <w:pStyle w:val="Bibliography"/>
      </w:pPr>
      <w:r>
        <w:t xml:space="preserve">47.</w:t>
      </w:r>
      <w:r>
        <w:t xml:space="preserve"> </w:t>
      </w:r>
      <w:r>
        <w:t xml:space="preserve">	</w:t>
      </w:r>
      <w:r>
        <w:t xml:space="preserve">Wilke CO, Wiernik BM. Ggtext: Improved text rendering support for ’ggplot2’ [Internet]. 2022. Available from:</w:t>
      </w:r>
      <w:r>
        <w:t xml:space="preserve"> </w:t>
      </w:r>
      <w:hyperlink r:id="rId210">
        <w:r>
          <w:rPr>
            <w:rStyle w:val="Hyperlink"/>
          </w:rPr>
          <w:t xml:space="preserve">https://CRAN.R-project.org/package=ggtext</w:t>
        </w:r>
      </w:hyperlink>
    </w:p>
    <w:bookmarkEnd w:id="211"/>
    <w:bookmarkStart w:id="212" w:name="ref-xie2014a"/>
    <w:p>
      <w:pPr>
        <w:pStyle w:val="Bibliography"/>
      </w:pPr>
      <w:r>
        <w:t xml:space="preserve">48.</w:t>
      </w:r>
      <w:r>
        <w:t xml:space="preserve"> </w:t>
      </w:r>
      <w:r>
        <w:t xml:space="preserve">	</w:t>
      </w:r>
      <w:r>
        <w:t xml:space="preserve">Xie Y. Knitr: A comprehensive tool for reproducible research in r. In: Stodden V, Leisch F, Peng RD, editors. Chapman; Hall/CRC; 2014.</w:t>
      </w:r>
      <w:r>
        <w:t xml:space="preserve"> </w:t>
      </w:r>
    </w:p>
    <w:bookmarkEnd w:id="212"/>
    <w:bookmarkStart w:id="214" w:name="ref-xie2015"/>
    <w:p>
      <w:pPr>
        <w:pStyle w:val="Bibliography"/>
      </w:pPr>
      <w:r>
        <w:t xml:space="preserve">49.</w:t>
      </w:r>
      <w:r>
        <w:t xml:space="preserve"> </w:t>
      </w:r>
      <w:r>
        <w:t xml:space="preserve">	</w:t>
      </w:r>
      <w:r>
        <w:t xml:space="preserve">Xie Y. Dynamic documents with r and knitr [Internet]. 2nd ed. Boca Raton, Florida: Chapman; Hall/CRC; 2015. Available from:</w:t>
      </w:r>
      <w:r>
        <w:t xml:space="preserve"> </w:t>
      </w:r>
      <w:hyperlink r:id="rId213">
        <w:r>
          <w:rPr>
            <w:rStyle w:val="Hyperlink"/>
          </w:rPr>
          <w:t xml:space="preserve">https://yihui.org/knitr/</w:t>
        </w:r>
      </w:hyperlink>
    </w:p>
    <w:bookmarkEnd w:id="214"/>
    <w:bookmarkStart w:id="216" w:name="ref-xie2018"/>
    <w:p>
      <w:pPr>
        <w:pStyle w:val="Bibliography"/>
      </w:pPr>
      <w:r>
        <w:t xml:space="preserve">50.</w:t>
      </w:r>
      <w:r>
        <w:t xml:space="preserve"> </w:t>
      </w:r>
      <w:r>
        <w:t xml:space="preserve">	</w:t>
      </w:r>
      <w:r>
        <w:t xml:space="preserve">Xie Y, Allaire JJ, Grolemund G. R markdown: The definitive guide [Internet]. Boca Raton, Florida: Chapman; Hall/CRC; 2018. Available from:</w:t>
      </w:r>
      <w:r>
        <w:t xml:space="preserve"> </w:t>
      </w:r>
      <w:hyperlink r:id="rId215">
        <w:r>
          <w:rPr>
            <w:rStyle w:val="Hyperlink"/>
          </w:rPr>
          <w:t xml:space="preserve">https://bookdown.org/yihui/rmarkdown</w:t>
        </w:r>
      </w:hyperlink>
    </w:p>
    <w:bookmarkEnd w:id="216"/>
    <w:bookmarkStart w:id="218" w:name="ref-xie2020"/>
    <w:p>
      <w:pPr>
        <w:pStyle w:val="Bibliography"/>
      </w:pPr>
      <w:r>
        <w:t xml:space="preserve">51.</w:t>
      </w:r>
      <w:r>
        <w:t xml:space="preserve"> </w:t>
      </w:r>
      <w:r>
        <w:t xml:space="preserve">	</w:t>
      </w:r>
      <w:r>
        <w:t xml:space="preserve">Xie Y, Dervieux C, Riederer E. R markdown cookbook [Internet]. Boca Raton, Florida: Chapman; Hall/CRC; 2020. Available from:</w:t>
      </w:r>
      <w:r>
        <w:t xml:space="preserve"> </w:t>
      </w:r>
      <w:hyperlink r:id="rId217">
        <w:r>
          <w:rPr>
            <w:rStyle w:val="Hyperlink"/>
          </w:rPr>
          <w:t xml:space="preserve">https://bookdown.org/yihui/rmarkdown-cookbook</w:t>
        </w:r>
      </w:hyperlink>
    </w:p>
    <w:bookmarkEnd w:id="218"/>
    <w:bookmarkStart w:id="219" w:name="ref-xie2025"/>
    <w:p>
      <w:pPr>
        <w:pStyle w:val="Bibliography"/>
      </w:pPr>
      <w:r>
        <w:t xml:space="preserve">52.</w:t>
      </w:r>
      <w:r>
        <w:t xml:space="preserve"> </w:t>
      </w:r>
      <w:r>
        <w:t xml:space="preserve">	</w:t>
      </w:r>
      <w:r>
        <w:t xml:space="preserve">Xie Y. Knitr: A general-purpose package for dynamic report generation in r [Internet]. 2025. Available from:</w:t>
      </w:r>
      <w:r>
        <w:t xml:space="preserve"> </w:t>
      </w:r>
      <w:hyperlink r:id="rId213">
        <w:r>
          <w:rPr>
            <w:rStyle w:val="Hyperlink"/>
          </w:rPr>
          <w:t xml:space="preserve">https://yihui.org/knitr/</w:t>
        </w:r>
      </w:hyperlink>
    </w:p>
    <w:bookmarkEnd w:id="219"/>
    <w:bookmarkStart w:id="221" w:name="ref-RN24"/>
    <w:p>
      <w:pPr>
        <w:pStyle w:val="Bibliography"/>
      </w:pPr>
      <w:r>
        <w:t xml:space="preserve">53.</w:t>
      </w:r>
      <w:r>
        <w:t xml:space="preserve"> </w:t>
      </w:r>
      <w:r>
        <w:t xml:space="preserve">	</w:t>
      </w:r>
      <w:r>
        <w:t xml:space="preserve">Bank W. Vol. 2025. World Development Indicators; 2025. Available from:</w:t>
      </w:r>
      <w:r>
        <w:t xml:space="preserve"> </w:t>
      </w:r>
      <w:hyperlink r:id="rId220">
        <w:r>
          <w:rPr>
            <w:rStyle w:val="Hyperlink"/>
          </w:rPr>
          <w:t xml:space="preserve">https://data.worldbank.org/indicator/SH.XPD.CHEX.PP.CD</w:t>
        </w:r>
      </w:hyperlink>
    </w:p>
    <w:bookmarkEnd w:id="221"/>
    <w:bookmarkStart w:id="223" w:name="ref-RN25"/>
    <w:p>
      <w:pPr>
        <w:pStyle w:val="Bibliography"/>
      </w:pPr>
      <w:r>
        <w:t xml:space="preserve">54.</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222">
        <w:r>
          <w:rPr>
            <w:rStyle w:val="Hyperlink"/>
          </w:rPr>
          <w:t xml:space="preserve">https://www.sciencedirect.com/science/article/pii/S1078143911002808</w:t>
        </w:r>
      </w:hyperlink>
    </w:p>
    <w:bookmarkEnd w:id="223"/>
    <w:bookmarkStart w:id="225" w:name="ref-RN26"/>
    <w:p>
      <w:pPr>
        <w:pStyle w:val="Bibliography"/>
      </w:pPr>
      <w:r>
        <w:t xml:space="preserve">55.</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224">
        <w:r>
          <w:rPr>
            <w:rStyle w:val="Hyperlink"/>
          </w:rPr>
          <w:t xml:space="preserve">https://doi.org/10.1038/s41598-018-19199-z</w:t>
        </w:r>
      </w:hyperlink>
    </w:p>
    <w:bookmarkEnd w:id="225"/>
    <w:bookmarkStart w:id="227" w:name="ref-RN27"/>
    <w:p>
      <w:pPr>
        <w:pStyle w:val="Bibliography"/>
      </w:pPr>
      <w:r>
        <w:t xml:space="preserve">56.</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26">
        <w:r>
          <w:rPr>
            <w:rStyle w:val="Hyperlink"/>
          </w:rPr>
          <w:t xml:space="preserve">https://doi.org/10.1186/s40779-024-00569-w</w:t>
        </w:r>
      </w:hyperlink>
    </w:p>
    <w:bookmarkEnd w:id="227"/>
    <w:bookmarkStart w:id="229" w:name="ref-RN28"/>
    <w:p>
      <w:pPr>
        <w:pStyle w:val="Bibliography"/>
      </w:pPr>
      <w:r>
        <w:t xml:space="preserve">57.</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28">
        <w:r>
          <w:rPr>
            <w:rStyle w:val="Hyperlink"/>
          </w:rPr>
          <w:t xml:space="preserve">https://www.ncbi.nlm.nih.gov/books/NBK53914/</w:t>
        </w:r>
      </w:hyperlink>
    </w:p>
    <w:bookmarkEnd w:id="229"/>
    <w:bookmarkStart w:id="231" w:name="ref-RN29"/>
    <w:p>
      <w:pPr>
        <w:pStyle w:val="Bibliography"/>
      </w:pPr>
      <w:r>
        <w:t xml:space="preserve">58.</w:t>
      </w:r>
      <w:r>
        <w:t xml:space="preserve"> </w:t>
      </w:r>
      <w:r>
        <w:t xml:space="preserve">	</w:t>
      </w:r>
      <w:r>
        <w:t xml:space="preserve">Al-Zalabani AH, Stewart KF, Wesselius A, Schols AM, Zeegers MP.</w:t>
      </w:r>
      <w:r>
        <w:t xml:space="preserve"> </w:t>
      </w:r>
      <w:hyperlink r:id="rId230">
        <w:r>
          <w:rPr>
            <w:rStyle w:val="Hyperlink"/>
          </w:rPr>
          <w:t xml:space="preserve">Modifiable risk factors for the prevention of bladder cancer: A systematic review of meta-analyses</w:t>
        </w:r>
      </w:hyperlink>
      <w:r>
        <w:t xml:space="preserve">. Eur J Epidemiol. 2016;31(9):811–51.</w:t>
      </w:r>
      <w:r>
        <w:t xml:space="preserve"> </w:t>
      </w:r>
    </w:p>
    <w:bookmarkEnd w:id="231"/>
    <w:bookmarkStart w:id="233" w:name="ref-RN30"/>
    <w:p>
      <w:pPr>
        <w:pStyle w:val="Bibliography"/>
      </w:pPr>
      <w:r>
        <w:t xml:space="preserve">59.</w:t>
      </w:r>
      <w:r>
        <w:t xml:space="preserve"> </w:t>
      </w:r>
      <w:r>
        <w:t xml:space="preserve">	</w:t>
      </w:r>
      <w:r>
        <w:t xml:space="preserve">Czene K, Lichtenstein P, Hemminki K.</w:t>
      </w:r>
      <w:r>
        <w:t xml:space="preserve"> </w:t>
      </w:r>
      <w:hyperlink r:id="rId232">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33"/>
    <w:bookmarkStart w:id="235" w:name="ref-RN31"/>
    <w:p>
      <w:pPr>
        <w:pStyle w:val="Bibliography"/>
      </w:pPr>
      <w:r>
        <w:t xml:space="preserve">60.</w:t>
      </w:r>
      <w:r>
        <w:t xml:space="preserve"> </w:t>
      </w:r>
      <w:r>
        <w:t xml:space="preserve">	</w:t>
      </w:r>
      <w:r>
        <w:t xml:space="preserve">Halaseh SA, Halaseh S, Alali Y, Ashour ME, Alharayzah MJ.</w:t>
      </w:r>
      <w:r>
        <w:t xml:space="preserve"> </w:t>
      </w:r>
      <w:hyperlink r:id="rId234">
        <w:r>
          <w:rPr>
            <w:rStyle w:val="Hyperlink"/>
          </w:rPr>
          <w:t xml:space="preserve">A review of the etiology and epidemiology of bladder cancer: All you need to know</w:t>
        </w:r>
      </w:hyperlink>
      <w:r>
        <w:t xml:space="preserve">. Cureus. 2022;14(7):e27330.</w:t>
      </w:r>
      <w:r>
        <w:t xml:space="preserve"> </w:t>
      </w:r>
    </w:p>
    <w:bookmarkEnd w:id="235"/>
    <w:bookmarkStart w:id="237" w:name="ref-RN32"/>
    <w:p>
      <w:pPr>
        <w:pStyle w:val="Bibliography"/>
      </w:pPr>
      <w:r>
        <w:t xml:space="preserve">61.</w:t>
      </w:r>
      <w:r>
        <w:t xml:space="preserve"> </w:t>
      </w:r>
      <w:r>
        <w:t xml:space="preserve">	</w:t>
      </w:r>
      <w:r>
        <w:t xml:space="preserve">Shariat SF, Milowsky M, Droller MJ.</w:t>
      </w:r>
      <w:r>
        <w:t xml:space="preserve"> </w:t>
      </w:r>
      <w:hyperlink r:id="rId236">
        <w:r>
          <w:rPr>
            <w:rStyle w:val="Hyperlink"/>
          </w:rPr>
          <w:t xml:space="preserve">Bladder cancer in the elderly</w:t>
        </w:r>
      </w:hyperlink>
      <w:r>
        <w:t xml:space="preserve">. Urol Oncol. 2009;27(6):653–67.</w:t>
      </w:r>
      <w:r>
        <w:t xml:space="preserve"> </w:t>
      </w:r>
    </w:p>
    <w:bookmarkEnd w:id="237"/>
    <w:bookmarkStart w:id="239" w:name="ref-RN33"/>
    <w:p>
      <w:pPr>
        <w:pStyle w:val="Bibliography"/>
      </w:pPr>
      <w:r>
        <w:t xml:space="preserve">62.</w:t>
      </w:r>
      <w:r>
        <w:t xml:space="preserve"> </w:t>
      </w:r>
      <w:r>
        <w:t xml:space="preserve">	</w:t>
      </w:r>
      <w:r>
        <w:t xml:space="preserve">Cohn JA, Vekhter B, Lyttle C, Steinberg GD, Large MC.</w:t>
      </w:r>
      <w:r>
        <w:t xml:space="preserve"> </w:t>
      </w:r>
      <w:hyperlink r:id="rId238">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39"/>
    <w:bookmarkStart w:id="241" w:name="ref-RN21"/>
    <w:p>
      <w:pPr>
        <w:pStyle w:val="Bibliography"/>
      </w:pPr>
      <w:r>
        <w:t xml:space="preserve">63.</w:t>
      </w:r>
      <w:r>
        <w:t xml:space="preserve"> </w:t>
      </w:r>
      <w:r>
        <w:t xml:space="preserve">	</w:t>
      </w:r>
      <w:r>
        <w:t xml:space="preserve">Toren P, Wilkins A, Patel K, Burley A, Gris T, Kockelbergh R, et al.</w:t>
      </w:r>
      <w:r>
        <w:t xml:space="preserve"> </w:t>
      </w:r>
      <w:hyperlink r:id="rId240">
        <w:r>
          <w:rPr>
            <w:rStyle w:val="Hyperlink"/>
          </w:rPr>
          <w:t xml:space="preserve">The sex gap in bladder cancer survival - a missing link in bladder cancer care?</w:t>
        </w:r>
      </w:hyperlink>
      <w:r>
        <w:t xml:space="preserve"> Nat Rev Urol. 2024;21(3):181–92.</w:t>
      </w:r>
      <w:r>
        <w:t xml:space="preserve"> </w:t>
      </w:r>
    </w:p>
    <w:bookmarkEnd w:id="241"/>
    <w:bookmarkStart w:id="243" w:name="ref-RN34"/>
    <w:p>
      <w:pPr>
        <w:pStyle w:val="Bibliography"/>
      </w:pPr>
      <w:r>
        <w:t xml:space="preserve">64.</w:t>
      </w:r>
      <w:r>
        <w:t xml:space="preserve"> </w:t>
      </w:r>
      <w:r>
        <w:t xml:space="preserve">	</w:t>
      </w:r>
      <w:r>
        <w:t xml:space="preserve">Ghandour R, Freifeld Y, Singla N, Lotan Y.</w:t>
      </w:r>
      <w:r>
        <w:t xml:space="preserve"> </w:t>
      </w:r>
      <w:hyperlink r:id="rId242">
        <w:r>
          <w:rPr>
            <w:rStyle w:val="Hyperlink"/>
          </w:rPr>
          <w:t xml:space="preserve">Evaluation of hematuria in a large public health care system</w:t>
        </w:r>
      </w:hyperlink>
      <w:r>
        <w:t xml:space="preserve">. Bladder Cancer. 2019;5(2):119–29.</w:t>
      </w:r>
      <w:r>
        <w:t xml:space="preserve"> </w:t>
      </w:r>
    </w:p>
    <w:bookmarkEnd w:id="243"/>
    <w:bookmarkStart w:id="245" w:name="ref-RN35"/>
    <w:p>
      <w:pPr>
        <w:pStyle w:val="Bibliography"/>
      </w:pPr>
      <w:r>
        <w:t xml:space="preserve">65.</w:t>
      </w:r>
      <w:r>
        <w:t xml:space="preserve"> </w:t>
      </w:r>
      <w:r>
        <w:t xml:space="preserve">	</w:t>
      </w:r>
      <w:r>
        <w:t xml:space="preserve">Barocas DA, Lotan Y, Matulewicz RS, Raman JD, Westerman ME, Kirkby E, et al.</w:t>
      </w:r>
      <w:r>
        <w:t xml:space="preserve"> </w:t>
      </w:r>
      <w:hyperlink r:id="rId244">
        <w:r>
          <w:rPr>
            <w:rStyle w:val="Hyperlink"/>
          </w:rPr>
          <w:t xml:space="preserve">Updates to microhematuria: AUA/SUFU guideline (2025)</w:t>
        </w:r>
      </w:hyperlink>
      <w:r>
        <w:t xml:space="preserve">. J Urol. 2025;213(5):547–57.</w:t>
      </w:r>
      <w:r>
        <w:t xml:space="preserve"> </w:t>
      </w:r>
    </w:p>
    <w:bookmarkEnd w:id="245"/>
    <w:bookmarkStart w:id="247" w:name="ref-RN36"/>
    <w:p>
      <w:pPr>
        <w:pStyle w:val="Bibliography"/>
      </w:pPr>
      <w:r>
        <w:t xml:space="preserve">66.</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46">
        <w:r>
          <w:rPr>
            <w:rStyle w:val="Hyperlink"/>
          </w:rPr>
          <w:t xml:space="preserve">https://doi.org/10.1038/s41389-023-00489-9</w:t>
        </w:r>
      </w:hyperlink>
    </w:p>
    <w:bookmarkEnd w:id="247"/>
    <w:bookmarkStart w:id="249" w:name="ref-RN37"/>
    <w:p>
      <w:pPr>
        <w:pStyle w:val="Bibliography"/>
      </w:pPr>
      <w:r>
        <w:t xml:space="preserve">67.</w:t>
      </w:r>
      <w:r>
        <w:t xml:space="preserve"> </w:t>
      </w:r>
      <w:r>
        <w:t xml:space="preserve">	</w:t>
      </w:r>
      <w:r>
        <w:t xml:space="preserve">Mattern HM, Lloyd PG, Sturek M, Hardin CD.</w:t>
      </w:r>
      <w:r>
        <w:t xml:space="preserve"> </w:t>
      </w:r>
      <w:hyperlink r:id="rId248">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49"/>
    <w:bookmarkStart w:id="251" w:name="ref-RN38"/>
    <w:p>
      <w:pPr>
        <w:pStyle w:val="Bibliography"/>
      </w:pPr>
      <w:r>
        <w:t xml:space="preserve">68.</w:t>
      </w:r>
      <w:r>
        <w:t xml:space="preserve"> </w:t>
      </w:r>
      <w:r>
        <w:t xml:space="preserve">	</w:t>
      </w:r>
      <w:r>
        <w:t xml:space="preserve">Zhang Z, Xu H, Ji J, Shi X, Lyu J, Zhu Y, et al.</w:t>
      </w:r>
      <w:r>
        <w:t xml:space="preserve"> </w:t>
      </w:r>
      <w:hyperlink r:id="rId250">
        <w:r>
          <w:rPr>
            <w:rStyle w:val="Hyperlink"/>
          </w:rPr>
          <w:t xml:space="preserve">Heterogeneity of PTEN and PPAR-γ in cancer and their prognostic application to bladder cancer</w:t>
        </w:r>
      </w:hyperlink>
      <w:r>
        <w:t xml:space="preserve">. Exp Ther Med. 2019;18(4):3177–83.</w:t>
      </w:r>
      <w:r>
        <w:t xml:space="preserve"> </w:t>
      </w:r>
    </w:p>
    <w:bookmarkEnd w:id="251"/>
    <w:bookmarkStart w:id="253" w:name="ref-RN39"/>
    <w:p>
      <w:pPr>
        <w:pStyle w:val="Bibliography"/>
      </w:pPr>
      <w:r>
        <w:t xml:space="preserve">69.</w:t>
      </w:r>
      <w:r>
        <w:t xml:space="preserve"> </w:t>
      </w:r>
      <w:r>
        <w:t xml:space="preserve">	</w:t>
      </w:r>
      <w:r>
        <w:t xml:space="preserve">Stanton BA, Caldwell K, Congdon CB, Disney J, Donahue M, Ferguson E, et al.</w:t>
      </w:r>
      <w:r>
        <w:t xml:space="preserve"> </w:t>
      </w:r>
      <w:hyperlink r:id="rId252">
        <w:r>
          <w:rPr>
            <w:rStyle w:val="Hyperlink"/>
          </w:rPr>
          <w:t xml:space="preserve">MDI biological laboratory arsenic summit: Approaches to limiting human exposure to arsenic</w:t>
        </w:r>
      </w:hyperlink>
      <w:r>
        <w:t xml:space="preserve">. Curr Environ Health Rep. 2015;2(3):329–37.</w:t>
      </w:r>
      <w:r>
        <w:t xml:space="preserve"> </w:t>
      </w:r>
    </w:p>
    <w:bookmarkEnd w:id="253"/>
    <w:bookmarkStart w:id="255" w:name="ref-RN40"/>
    <w:p>
      <w:pPr>
        <w:pStyle w:val="Bibliography"/>
      </w:pPr>
      <w:r>
        <w:t xml:space="preserve">70.</w:t>
      </w:r>
      <w:r>
        <w:t xml:space="preserve"> </w:t>
      </w:r>
      <w:r>
        <w:t xml:space="preserve">	</w:t>
      </w:r>
      <w:r>
        <w:t xml:space="preserve">Yang Q, Flanagan SV, Chillrud S, Ross J, Zeng W, Culbertson C, et al.</w:t>
      </w:r>
      <w:r>
        <w:t xml:space="preserve"> </w:t>
      </w:r>
      <w:hyperlink r:id="rId254">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55"/>
    <w:bookmarkStart w:id="256" w:name="ref-RN41"/>
    <w:p>
      <w:pPr>
        <w:pStyle w:val="Bibliography"/>
      </w:pPr>
      <w:r>
        <w:t xml:space="preserve">71.</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56"/>
    <w:bookmarkStart w:id="258" w:name="ref-RN42"/>
    <w:p>
      <w:pPr>
        <w:pStyle w:val="Bibliography"/>
      </w:pPr>
      <w:r>
        <w:t xml:space="preserve">72.</w:t>
      </w:r>
      <w:r>
        <w:t xml:space="preserve"> </w:t>
      </w:r>
      <w:r>
        <w:t xml:space="preserve">	</w:t>
      </w:r>
      <w:r>
        <w:t xml:space="preserve">Javeid J, Akhtar M, Ahmed L, Hassan W, Ikram M, Iqbal R, et al.</w:t>
      </w:r>
      <w:r>
        <w:t xml:space="preserve"> </w:t>
      </w:r>
      <w:hyperlink r:id="rId257">
        <w:r>
          <w:rPr>
            <w:rStyle w:val="Hyperlink"/>
          </w:rPr>
          <w:t xml:space="preserve">Bladder cancer mortality among smokers: Trends and disparities in u.s. Adults (1999–2023).</w:t>
        </w:r>
      </w:hyperlink>
      <w:r>
        <w:t xml:space="preserve"> Journal of Clinical Oncology. 2025;43.</w:t>
      </w:r>
      <w:r>
        <w:t xml:space="preserve"> </w:t>
      </w:r>
    </w:p>
    <w:bookmarkEnd w:id="258"/>
    <w:bookmarkStart w:id="260" w:name="ref-RN43"/>
    <w:p>
      <w:pPr>
        <w:pStyle w:val="Bibliography"/>
      </w:pPr>
      <w:r>
        <w:t xml:space="preserve">73.</w:t>
      </w:r>
      <w:r>
        <w:t xml:space="preserve"> </w:t>
      </w:r>
      <w:r>
        <w:t xml:space="preserve">	</w:t>
      </w:r>
      <w:r>
        <w:t xml:space="preserve">Lortet-Tieulent J, Goding Sauer A, Siegel RL, Miller KD, Islami F, Fedewa SA, et al.</w:t>
      </w:r>
      <w:r>
        <w:t xml:space="preserve"> </w:t>
      </w:r>
      <w:hyperlink r:id="rId259">
        <w:r>
          <w:rPr>
            <w:rStyle w:val="Hyperlink"/>
          </w:rPr>
          <w:t xml:space="preserve">State-level cancer mortality attributable to cigarette smoking in the united states</w:t>
        </w:r>
      </w:hyperlink>
      <w:r>
        <w:t xml:space="preserve">. JAMA Intern Med. 2016;176(12):1792–8.</w:t>
      </w:r>
      <w:r>
        <w:t xml:space="preserve"> </w:t>
      </w:r>
    </w:p>
    <w:bookmarkEnd w:id="260"/>
    <w:bookmarkStart w:id="262" w:name="ref-RN44"/>
    <w:p>
      <w:pPr>
        <w:pStyle w:val="Bibliography"/>
      </w:pPr>
      <w:r>
        <w:t xml:space="preserve">74.</w:t>
      </w:r>
      <w:r>
        <w:t xml:space="preserve"> </w:t>
      </w:r>
      <w:r>
        <w:t xml:space="preserve">	</w:t>
      </w:r>
      <w:r>
        <w:t xml:space="preserve">Deuker M, Stolzenbach LF, Collà Ruvolo C, Nocera L, Tian Z, Roos FC, et al.</w:t>
      </w:r>
      <w:r>
        <w:t xml:space="preserve"> </w:t>
      </w:r>
      <w:hyperlink r:id="rId261">
        <w:r>
          <w:rPr>
            <w:rStyle w:val="Hyperlink"/>
          </w:rPr>
          <w:t xml:space="preserve">Bladder cancer stage and mortality: Urban vs. Rural residency</w:t>
        </w:r>
      </w:hyperlink>
      <w:r>
        <w:t xml:space="preserve">. Cancer Causes Control. 2021;32(2):139–45.</w:t>
      </w:r>
      <w:r>
        <w:t xml:space="preserve"> </w:t>
      </w:r>
    </w:p>
    <w:bookmarkEnd w:id="262"/>
    <w:bookmarkStart w:id="264" w:name="ref-RN45"/>
    <w:p>
      <w:pPr>
        <w:pStyle w:val="Bibliography"/>
      </w:pPr>
      <w:r>
        <w:t xml:space="preserve">75.</w:t>
      </w:r>
      <w:r>
        <w:t xml:space="preserve"> </w:t>
      </w:r>
      <w:r>
        <w:t xml:space="preserve">	</w:t>
      </w:r>
      <w:r>
        <w:t xml:space="preserve">Dursun F, Elshabrawy A, Wang H, Kaushik D, Liss MA, Svatek RS, et al.</w:t>
      </w:r>
      <w:r>
        <w:t xml:space="preserve"> </w:t>
      </w:r>
      <w:hyperlink r:id="rId263">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64"/>
    <w:bookmarkStart w:id="266" w:name="ref-RN46"/>
    <w:p>
      <w:pPr>
        <w:pStyle w:val="Bibliography"/>
      </w:pPr>
      <w:r>
        <w:t xml:space="preserve">76.</w:t>
      </w:r>
      <w:r>
        <w:t xml:space="preserve"> </w:t>
      </w:r>
      <w:r>
        <w:t xml:space="preserve">	</w:t>
      </w:r>
      <w:r>
        <w:t xml:space="preserve">Ryan S, Serrell EC, Karabon P, Mills G, Hansen M, Hayn M, et al.</w:t>
      </w:r>
      <w:r>
        <w:t xml:space="preserve"> </w:t>
      </w:r>
      <w:hyperlink r:id="rId265">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66"/>
    <w:bookmarkStart w:id="268" w:name="ref-RN47"/>
    <w:p>
      <w:pPr>
        <w:pStyle w:val="Bibliography"/>
      </w:pPr>
      <w:r>
        <w:t xml:space="preserve">77.</w:t>
      </w:r>
      <w:r>
        <w:t xml:space="preserve"> </w:t>
      </w:r>
      <w:r>
        <w:t xml:space="preserve">	</w:t>
      </w:r>
      <w:r>
        <w:t xml:space="preserve">Hung P, Deng S, Zahnd WE, Adams SA, Olatosi B, Crouch EL, et al.</w:t>
      </w:r>
      <w:r>
        <w:t xml:space="preserve"> </w:t>
      </w:r>
      <w:hyperlink r:id="rId267">
        <w:r>
          <w:rPr>
            <w:rStyle w:val="Hyperlink"/>
          </w:rPr>
          <w:t xml:space="preserve">Geographic disparities in residential proximity to colorectal and cervical cancer care providers</w:t>
        </w:r>
      </w:hyperlink>
      <w:r>
        <w:t xml:space="preserve">. Cancer. 2020;126(5):1068–76.</w:t>
      </w:r>
      <w:r>
        <w:t xml:space="preserve"> </w:t>
      </w:r>
    </w:p>
    <w:bookmarkEnd w:id="268"/>
    <w:bookmarkStart w:id="269" w:name="ref-RN48"/>
    <w:p>
      <w:pPr>
        <w:pStyle w:val="Bibliography"/>
      </w:pPr>
      <w:r>
        <w:t xml:space="preserve">78.</w:t>
      </w:r>
      <w:r>
        <w:t xml:space="preserve"> </w:t>
      </w:r>
      <w:r>
        <w:t xml:space="preserve">	</w:t>
      </w:r>
      <w:r>
        <w:t xml:space="preserve">Terlizzi EP, Cohen RA. Geographic variation in health insurance coverage:united states, 2022. Natl Health Stat Report. 2023;(194):1–15.</w:t>
      </w:r>
      <w:r>
        <w:t xml:space="preserve"> </w:t>
      </w:r>
    </w:p>
    <w:bookmarkEnd w:id="269"/>
    <w:bookmarkStart w:id="271" w:name="ref-RN49"/>
    <w:p>
      <w:pPr>
        <w:pStyle w:val="Bibliography"/>
      </w:pPr>
      <w:r>
        <w:t xml:space="preserve">79.</w:t>
      </w:r>
      <w:r>
        <w:t xml:space="preserve"> </w:t>
      </w:r>
      <w:r>
        <w:t xml:space="preserve">	</w:t>
      </w:r>
      <w:r>
        <w:t xml:space="preserve">Wang Y, Chang Q, Li Y.</w:t>
      </w:r>
      <w:r>
        <w:t xml:space="preserve"> </w:t>
      </w:r>
      <w:hyperlink r:id="rId270">
        <w:r>
          <w:rPr>
            <w:rStyle w:val="Hyperlink"/>
          </w:rPr>
          <w:t xml:space="preserve">Racial differences in urinary bladder cancer in the united states</w:t>
        </w:r>
      </w:hyperlink>
      <w:r>
        <w:t xml:space="preserve">. Sci Rep. 2018;8(1):12521.</w:t>
      </w:r>
      <w:r>
        <w:t xml:space="preserve"> </w:t>
      </w:r>
    </w:p>
    <w:bookmarkEnd w:id="271"/>
    <w:bookmarkStart w:id="273" w:name="ref-RN50"/>
    <w:p>
      <w:pPr>
        <w:pStyle w:val="Bibliography"/>
      </w:pPr>
      <w:r>
        <w:t xml:space="preserve">80.</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72">
        <w:r>
          <w:rPr>
            <w:rStyle w:val="Hyperlink"/>
          </w:rPr>
          <w:t xml:space="preserve">https://www.cdc.gov/brfss/brfssprevalence/</w:t>
        </w:r>
      </w:hyperlink>
    </w:p>
    <w:bookmarkEnd w:id="273"/>
    <w:bookmarkStart w:id="274" w:name="ref-RN51"/>
    <w:p>
      <w:pPr>
        <w:pStyle w:val="Bibliography"/>
      </w:pPr>
      <w:r>
        <w:t xml:space="preserve">81.</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74"/>
    <w:bookmarkStart w:id="275" w:name="ref-RN52"/>
    <w:p>
      <w:pPr>
        <w:pStyle w:val="Bibliography"/>
      </w:pPr>
      <w:r>
        <w:t xml:space="preserve">82.</w:t>
      </w:r>
      <w:r>
        <w:t xml:space="preserve"> </w:t>
      </w:r>
      <w:r>
        <w:t xml:space="preserve">	</w:t>
      </w:r>
      <w:r>
        <w:t xml:space="preserve">Yegian JM, Wang G. Affordability in a mandated environment. Am J Manag Care. 2013;19(6):e233–7.</w:t>
      </w:r>
      <w:r>
        <w:t xml:space="preserve"> </w:t>
      </w:r>
    </w:p>
    <w:bookmarkEnd w:id="275"/>
    <w:bookmarkEnd w:id="276"/>
    <w:bookmarkEnd w:id="277"/>
    <w:sectPr w:rsidR="00440FF5" w:rsidSect="0029069C">
      <w:pgSz w:h="15840" w:w="12240"/>
      <w:pgMar w:bottom="720" w:footer="720" w:gutter="0" w:header="720" w:left="720" w:right="720" w:top="720"/>
      <w:lnNumType w:countBy="1" w:restart="continuous"/>
      <w:cols w:space="720"/>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87E564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BDC7BF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F01E5FD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70CD2DE"/>
    <w:multiLevelType w:val="multilevel"/>
    <w:tmpl w:val="2C08B09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51028046" w:numId="1">
    <w:abstractNumId w:val="3"/>
  </w:num>
  <w:num w16cid:durableId="521211694" w:numId="2">
    <w:abstractNumId w:val="0"/>
  </w:num>
  <w:num w16cid:durableId="2073498530" w:numId="3">
    <w:abstractNumId w:val="1"/>
  </w:num>
  <w:num w16cid:durableId="2098557892" w:numId="4">
    <w:abstractNumId w:val="1"/>
  </w:num>
  <w:num w16cid:durableId="1303120967" w:numId="5">
    <w:abstractNumId w:val="1"/>
  </w:num>
  <w:num w16cid:durableId="2040082989" w:numId="6">
    <w:abstractNumId w:val="1"/>
  </w:num>
  <w:num w16cid:durableId="1564753978" w:numId="7">
    <w:abstractNumId w:val="1"/>
  </w:num>
  <w:num w16cid:durableId="706757077"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52656"/>
    <w:rsid w:val="00CF67B6"/>
    <w:rsid w:val="00D6760E"/>
    <w:rsid w:val="00D97B1B"/>
    <w:rsid w:val="00EC3BF7"/>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rPr>
      <w:rFonts w:ascii="Calibri" w:hAnsi="Calibri"/>
      <w:sz w:val="28"/>
    </w:rPr>
  </w:style>
  <w:style w:styleId="Heading1" w:type="paragraph">
    <w:name w:val="heading 1"/>
    <w:basedOn w:val="Normal"/>
    <w:next w:val="BodyText"/>
    <w:link w:val="Heading1Char"/>
    <w:uiPriority w:val="9"/>
    <w:qFormat/>
    <w:rsid w:val="00D6760E"/>
    <w:pPr>
      <w:keepNext/>
      <w:keepLines/>
      <w:spacing w:after="80" w:before="360"/>
      <w:outlineLvl w:val="0"/>
    </w:pPr>
    <w:rPr>
      <w:rFonts w:cstheme="majorBidi"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keepLines/>
      <w:spacing w:after="80" w:before="160"/>
      <w:outlineLvl w:val="1"/>
    </w:pPr>
    <w:rPr>
      <w:rFonts w:cstheme="majorBidi"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F67B6"/>
    <w:pPr>
      <w:spacing w:after="180" w:before="180"/>
      <w:jc w:val="both"/>
    </w:pPr>
    <w:rPr>
      <w:color w:themeColor="text1" w:val="000000"/>
    </w:rPr>
  </w:style>
  <w:style w:customStyle="1" w:styleId="FirstParagraph" w:type="paragraph">
    <w:name w:val="First Paragraph"/>
    <w:basedOn w:val="BodyText"/>
    <w:next w:val="BodyText"/>
    <w:qFormat/>
    <w:rsid w:val="00917F3D"/>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7565A7"/>
    <w:pPr>
      <w:spacing w:after="80"/>
      <w:contextualSpacing/>
      <w:jc w:val="both"/>
    </w:pPr>
    <w:rPr>
      <w:rFonts w:cstheme="majorBidi" w:eastAsiaTheme="majorEastAsia"/>
      <w:b/>
      <w:spacing w:val="-10"/>
      <w:kern w:val="28"/>
      <w:sz w:val="40"/>
      <w:szCs w:val="56"/>
    </w:rPr>
  </w:style>
  <w:style w:customStyle="1" w:styleId="TitleChar" w:type="character">
    <w:name w:val="Title Char"/>
    <w:basedOn w:val="DefaultParagraphFont"/>
    <w:link w:val="Title"/>
    <w:uiPriority w:val="10"/>
    <w:rsid w:val="007565A7"/>
    <w:rPr>
      <w:rFonts w:ascii="Calibri" w:cstheme="majorBidi" w:eastAsiaTheme="majorEastAsia" w:hAnsi="Calibri"/>
      <w:b/>
      <w:spacing w:val="-10"/>
      <w:kern w:val="28"/>
      <w:sz w:val="40"/>
      <w:szCs w:val="56"/>
    </w:rPr>
  </w:style>
  <w:style w:styleId="Subtitle" w:type="paragraph">
    <w:name w:val="Subtitle"/>
    <w:basedOn w:val="Normal"/>
    <w:next w:val="BodyText"/>
    <w:link w:val="SubtitleChar"/>
    <w:uiPriority w:val="11"/>
    <w:qFormat/>
    <w:rsid w:val="00D6760E"/>
    <w:pPr>
      <w:numPr>
        <w:ilvl w:val="1"/>
      </w:numPr>
    </w:pPr>
    <w:rPr>
      <w:rFonts w:cstheme="majorBidi" w:eastAsiaTheme="majorEastAsia"/>
      <w:color w:themeColor="text1" w:val="000000"/>
      <w:spacing w:val="15"/>
      <w:szCs w:val="28"/>
    </w:rPr>
  </w:style>
  <w:style w:customStyle="1" w:styleId="SubtitleChar" w:type="character">
    <w:name w:val="Subtitle Char"/>
    <w:basedOn w:val="DefaultParagraphFont"/>
    <w:link w:val="Subtitle"/>
    <w:uiPriority w:val="11"/>
    <w:rsid w:val="00D6760E"/>
    <w:rPr>
      <w:rFonts w:ascii="Calibri" w:cstheme="majorBidi" w:eastAsiaTheme="majorEastAsia" w:hAnsi="Calibri"/>
      <w:color w:themeColor="text1" w:val="000000"/>
      <w:spacing w:val="15"/>
      <w:sz w:val="28"/>
      <w:szCs w:val="28"/>
    </w:rPr>
  </w:style>
  <w:style w:customStyle="1" w:styleId="Author" w:type="paragraph">
    <w:name w:val="Author"/>
    <w:next w:val="BodyText"/>
    <w:qFormat/>
    <w:rsid w:val="00D6760E"/>
    <w:pPr>
      <w:keepNext/>
      <w:keepLines/>
    </w:pPr>
    <w:rPr>
      <w:rFonts w:ascii="Calibri" w:hAnsi="Calibri"/>
      <w:color w:themeColor="text1" w:val="000000"/>
    </w:rPr>
  </w:style>
  <w:style w:styleId="Date" w:type="paragraph">
    <w:name w:val="Date"/>
    <w:next w:val="BodyText"/>
    <w:qFormat/>
    <w:rsid w:val="00D6760E"/>
    <w:pPr>
      <w:keepNext/>
      <w:keepLines/>
    </w:pPr>
    <w:rPr>
      <w:rFonts w:ascii="Calibri" w:hAnsi="Calibri"/>
      <w:color w:themeColor="text1" w:val="00000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rsid w:val="009103AD"/>
    <w:pPr>
      <w:keepNext/>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customStyle="1" w:styleId="Heading1Char" w:type="character">
    <w:name w:val="Heading 1 Char"/>
    <w:basedOn w:val="DefaultParagraphFont"/>
    <w:link w:val="Heading1"/>
    <w:uiPriority w:val="9"/>
    <w:rsid w:val="00D6760E"/>
    <w:rPr>
      <w:rFonts w:ascii="Calibri" w:cstheme="majorBidi" w:eastAsiaTheme="majorEastAsia" w:hAnsi="Calibri"/>
      <w:b/>
      <w:color w:themeColor="text1" w:val="000000"/>
      <w:sz w:val="40"/>
      <w:szCs w:val="40"/>
    </w:rPr>
  </w:style>
  <w:style w:customStyle="1" w:styleId="Heading2Char" w:type="character">
    <w:name w:val="Heading 2 Char"/>
    <w:basedOn w:val="DefaultParagraphFont"/>
    <w:link w:val="Heading2"/>
    <w:uiPriority w:val="9"/>
    <w:rsid w:val="0076149A"/>
    <w:rPr>
      <w:rFonts w:ascii="Calibri" w:cstheme="majorBidi"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76149A"/>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9103AD"/>
    <w:pPr>
      <w:keepNext/>
      <w:keepLines/>
      <w:spacing w:after="0"/>
    </w:pPr>
    <w:rPr>
      <w:b/>
    </w:rPr>
  </w:style>
  <w:style w:customStyle="1" w:styleId="Definition" w:type="paragraph">
    <w:name w:val="Definition"/>
    <w:basedOn w:val="Normal"/>
    <w:rsid w:val="009103AD"/>
  </w:style>
  <w:style w:styleId="Caption" w:type="paragraph">
    <w:name w:val="caption"/>
    <w:basedOn w:val="Normal"/>
    <w:link w:val="CaptionChar"/>
    <w:pPr>
      <w:spacing w:after="120"/>
    </w:pPr>
    <w:rPr>
      <w:i/>
    </w:rPr>
  </w:style>
  <w:style w:customStyle="1" w:styleId="TableCaption" w:type="paragraph">
    <w:name w:val="Table Caption"/>
    <w:basedOn w:val="Caption"/>
    <w:rsid w:val="0076149A"/>
    <w:pPr>
      <w:keepNext/>
    </w:pPr>
  </w:style>
  <w:style w:customStyle="1" w:styleId="ImageCaption" w:type="paragraph">
    <w:name w:val="Image Caption"/>
    <w:basedOn w:val="Caption"/>
    <w:rsid w:val="0076149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81DF9"/>
    <w:rPr>
      <w:rFonts w:ascii="Calibri" w:hAnsi="Calibri"/>
      <w:i/>
      <w:iCs/>
    </w:rPr>
  </w:style>
  <w:style w:customStyle="1" w:styleId="SectionNumber" w:type="character">
    <w:name w:val="Section Number"/>
    <w:basedOn w:val="CaptionChar"/>
  </w:style>
  <w:style w:styleId="FootnoteReference" w:type="character">
    <w:name w:val="footnote reference"/>
    <w:basedOn w:val="CaptionChar"/>
    <w:rsid w:val="0076149A"/>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styleId="LineNumber" w:type="character">
    <w:name w:val="line number"/>
    <w:basedOn w:val="DefaultParagraphFont"/>
    <w:rsid w:val="008E4780"/>
  </w:style>
  <w:style w:customStyle="1" w:styleId="SourceCode" w:type="paragraph">
    <w:name w:val="Source Code"/>
    <w:basedOn w:val="Normal"/>
    <w:link w:val="VerbatimChar"/>
    <w:rsid w:val="00181DF9"/>
    <w:pPr>
      <w:wordWrap w:val="0"/>
      <w:jc w:val="both"/>
    </w:pPr>
    <w:rPr>
      <w:i/>
      <w:iCs/>
      <w:sz w:val="24"/>
    </w:rPr>
  </w:style>
  <w:style w:customStyle="1" w:styleId="KeywordTok" w:type="character">
    <w:name w:val="KeywordTok"/>
    <w:basedOn w:val="VerbatimChar"/>
    <w:rPr>
      <w:rFonts w:ascii="Calibri" w:hAnsi="Calibri"/>
      <w:b/>
      <w:i/>
      <w:iCs/>
      <w:color w:val="003B4F"/>
      <w:shd w:color="auto" w:fill="F1F3F5" w:val="clear"/>
    </w:rPr>
  </w:style>
  <w:style w:customStyle="1" w:styleId="DataTypeTok" w:type="character">
    <w:name w:val="DataTypeTok"/>
    <w:basedOn w:val="VerbatimChar"/>
    <w:rPr>
      <w:rFonts w:ascii="Calibri" w:hAnsi="Calibri"/>
      <w:i/>
      <w:iCs/>
      <w:color w:val="AD0000"/>
      <w:shd w:color="auto" w:fill="F1F3F5" w:val="clear"/>
    </w:rPr>
  </w:style>
  <w:style w:customStyle="1" w:styleId="DecValTok" w:type="character">
    <w:name w:val="DecValTok"/>
    <w:basedOn w:val="VerbatimChar"/>
    <w:rPr>
      <w:rFonts w:ascii="Calibri" w:hAnsi="Calibri"/>
      <w:i/>
      <w:iCs/>
      <w:color w:val="AD0000"/>
      <w:shd w:color="auto" w:fill="F1F3F5" w:val="clear"/>
    </w:rPr>
  </w:style>
  <w:style w:customStyle="1" w:styleId="BaseNTok" w:type="character">
    <w:name w:val="BaseNTok"/>
    <w:basedOn w:val="VerbatimChar"/>
    <w:rPr>
      <w:rFonts w:ascii="Calibri" w:hAnsi="Calibri"/>
      <w:i/>
      <w:iCs/>
      <w:color w:val="AD0000"/>
      <w:shd w:color="auto" w:fill="F1F3F5" w:val="clear"/>
    </w:rPr>
  </w:style>
  <w:style w:customStyle="1" w:styleId="FloatTok" w:type="character">
    <w:name w:val="FloatTok"/>
    <w:basedOn w:val="VerbatimChar"/>
    <w:rPr>
      <w:rFonts w:ascii="Calibri" w:hAnsi="Calibri"/>
      <w:i/>
      <w:iCs/>
      <w:color w:val="AD0000"/>
      <w:shd w:color="auto" w:fill="F1F3F5" w:val="clear"/>
    </w:rPr>
  </w:style>
  <w:style w:customStyle="1" w:styleId="ConstantTok" w:type="character">
    <w:name w:val="ConstantTok"/>
    <w:basedOn w:val="VerbatimChar"/>
    <w:rPr>
      <w:rFonts w:ascii="Calibri" w:hAnsi="Calibri"/>
      <w:i/>
      <w:iCs/>
      <w:color w:val="8F5902"/>
      <w:shd w:color="auto" w:fill="F1F3F5" w:val="clear"/>
    </w:rPr>
  </w:style>
  <w:style w:customStyle="1" w:styleId="CharTok" w:type="character">
    <w:name w:val="CharTok"/>
    <w:basedOn w:val="VerbatimChar"/>
    <w:rPr>
      <w:rFonts w:ascii="Calibri" w:hAnsi="Calibri"/>
      <w:i/>
      <w:iCs/>
      <w:color w:val="20794D"/>
      <w:shd w:color="auto" w:fill="F1F3F5" w:val="clear"/>
    </w:rPr>
  </w:style>
  <w:style w:customStyle="1" w:styleId="SpecialCharTok" w:type="character">
    <w:name w:val="SpecialCharTok"/>
    <w:basedOn w:val="VerbatimChar"/>
    <w:rPr>
      <w:rFonts w:ascii="Calibri" w:hAnsi="Calibri"/>
      <w:i/>
      <w:iCs/>
      <w:color w:val="5E5E5E"/>
      <w:shd w:color="auto" w:fill="F1F3F5" w:val="clear"/>
    </w:rPr>
  </w:style>
  <w:style w:customStyle="1" w:styleId="StringTok" w:type="character">
    <w:name w:val="StringTok"/>
    <w:basedOn w:val="VerbatimChar"/>
    <w:rPr>
      <w:rFonts w:ascii="Calibri" w:hAnsi="Calibri"/>
      <w:i/>
      <w:iCs/>
      <w:color w:val="20794D"/>
      <w:shd w:color="auto" w:fill="F1F3F5" w:val="clear"/>
    </w:rPr>
  </w:style>
  <w:style w:customStyle="1" w:styleId="VerbatimStringTok" w:type="character">
    <w:name w:val="VerbatimStringTok"/>
    <w:basedOn w:val="VerbatimChar"/>
    <w:rPr>
      <w:rFonts w:ascii="Calibri" w:hAnsi="Calibri"/>
      <w:i/>
      <w:iCs/>
      <w:color w:val="20794D"/>
      <w:shd w:color="auto" w:fill="F1F3F5" w:val="clear"/>
    </w:rPr>
  </w:style>
  <w:style w:customStyle="1" w:styleId="SpecialStringTok" w:type="character">
    <w:name w:val="SpecialStringTok"/>
    <w:basedOn w:val="VerbatimChar"/>
    <w:rPr>
      <w:rFonts w:ascii="Calibri" w:hAnsi="Calibri"/>
      <w:i/>
      <w:iCs/>
      <w:color w:val="20794D"/>
      <w:shd w:color="auto" w:fill="F1F3F5" w:val="clear"/>
    </w:rPr>
  </w:style>
  <w:style w:customStyle="1" w:styleId="ImportTok" w:type="character">
    <w:name w:val="ImportTok"/>
    <w:basedOn w:val="VerbatimChar"/>
    <w:rPr>
      <w:rFonts w:ascii="Calibri" w:hAnsi="Calibri"/>
      <w:i/>
      <w:iCs/>
      <w:color w:val="00769E"/>
      <w:shd w:color="auto" w:fill="F1F3F5" w:val="clear"/>
    </w:rPr>
  </w:style>
  <w:style w:customStyle="1" w:styleId="CommentTok" w:type="character">
    <w:name w:val="CommentTok"/>
    <w:basedOn w:val="VerbatimChar"/>
    <w:rPr>
      <w:rFonts w:ascii="Calibri" w:hAnsi="Calibri"/>
      <w:i/>
      <w:iCs/>
      <w:color w:val="5E5E5E"/>
      <w:shd w:color="auto" w:fill="F1F3F5" w:val="clear"/>
    </w:rPr>
  </w:style>
  <w:style w:customStyle="1" w:styleId="DocumentationTok" w:type="character">
    <w:name w:val="DocumentationTok"/>
    <w:basedOn w:val="VerbatimChar"/>
    <w:rPr>
      <w:rFonts w:ascii="Calibri" w:hAnsi="Calibri"/>
      <w:i w:val="0"/>
      <w:iCs/>
      <w:color w:val="5E5E5E"/>
      <w:shd w:color="auto" w:fill="F1F3F5" w:val="clear"/>
    </w:rPr>
  </w:style>
  <w:style w:customStyle="1" w:styleId="AnnotationTok" w:type="character">
    <w:name w:val="AnnotationTok"/>
    <w:basedOn w:val="VerbatimChar"/>
    <w:rPr>
      <w:rFonts w:ascii="Calibri" w:hAnsi="Calibri"/>
      <w:i/>
      <w:iCs/>
      <w:color w:val="5E5E5E"/>
      <w:shd w:color="auto" w:fill="F1F3F5" w:val="clear"/>
    </w:rPr>
  </w:style>
  <w:style w:customStyle="1" w:styleId="CommentVarTok" w:type="character">
    <w:name w:val="CommentVarTok"/>
    <w:basedOn w:val="VerbatimChar"/>
    <w:rPr>
      <w:rFonts w:ascii="Calibri" w:hAnsi="Calibri"/>
      <w:i w:val="0"/>
      <w:iCs/>
      <w:color w:val="5E5E5E"/>
      <w:shd w:color="auto" w:fill="F1F3F5" w:val="clear"/>
    </w:rPr>
  </w:style>
  <w:style w:customStyle="1" w:styleId="OtherTok" w:type="character">
    <w:name w:val="OtherTok"/>
    <w:basedOn w:val="VerbatimChar"/>
    <w:rPr>
      <w:rFonts w:ascii="Calibri" w:hAnsi="Calibri"/>
      <w:i/>
      <w:iCs/>
      <w:color w:val="003B4F"/>
      <w:shd w:color="auto" w:fill="F1F3F5" w:val="clear"/>
    </w:rPr>
  </w:style>
  <w:style w:customStyle="1" w:styleId="FunctionTok" w:type="character">
    <w:name w:val="FunctionTok"/>
    <w:basedOn w:val="VerbatimChar"/>
    <w:rPr>
      <w:rFonts w:ascii="Calibri" w:hAnsi="Calibri"/>
      <w:i/>
      <w:iCs/>
      <w:color w:val="4758AB"/>
      <w:shd w:color="auto" w:fill="F1F3F5" w:val="clear"/>
    </w:rPr>
  </w:style>
  <w:style w:customStyle="1" w:styleId="VariableTok" w:type="character">
    <w:name w:val="VariableTok"/>
    <w:basedOn w:val="VerbatimChar"/>
    <w:rPr>
      <w:rFonts w:ascii="Calibri" w:hAnsi="Calibri"/>
      <w:i/>
      <w:iCs/>
      <w:color w:val="111111"/>
      <w:shd w:color="auto" w:fill="F1F3F5" w:val="clear"/>
    </w:rPr>
  </w:style>
  <w:style w:customStyle="1" w:styleId="ControlFlowTok" w:type="character">
    <w:name w:val="ControlFlowTok"/>
    <w:basedOn w:val="VerbatimChar"/>
    <w:rPr>
      <w:rFonts w:ascii="Calibri" w:hAnsi="Calibri"/>
      <w:b/>
      <w:i/>
      <w:iCs/>
      <w:color w:val="003B4F"/>
      <w:shd w:color="auto" w:fill="F1F3F5" w:val="clear"/>
    </w:rPr>
  </w:style>
  <w:style w:customStyle="1" w:styleId="OperatorTok" w:type="character">
    <w:name w:val="OperatorTok"/>
    <w:basedOn w:val="VerbatimChar"/>
    <w:rPr>
      <w:rFonts w:ascii="Calibri" w:hAnsi="Calibri"/>
      <w:i/>
      <w:iCs/>
      <w:color w:val="5E5E5E"/>
      <w:shd w:color="auto" w:fill="F1F3F5" w:val="clear"/>
    </w:rPr>
  </w:style>
  <w:style w:customStyle="1" w:styleId="BuiltInTok" w:type="character">
    <w:name w:val="BuiltInTok"/>
    <w:basedOn w:val="VerbatimChar"/>
    <w:rPr>
      <w:rFonts w:ascii="Calibri" w:hAnsi="Calibri"/>
      <w:i/>
      <w:iCs/>
      <w:color w:val="003B4F"/>
      <w:shd w:color="auto" w:fill="F1F3F5" w:val="clear"/>
    </w:rPr>
  </w:style>
  <w:style w:customStyle="1" w:styleId="ExtensionTok" w:type="character">
    <w:name w:val="ExtensionTok"/>
    <w:basedOn w:val="VerbatimChar"/>
    <w:rPr>
      <w:rFonts w:ascii="Calibri" w:hAnsi="Calibri"/>
      <w:i/>
      <w:iCs/>
      <w:color w:val="003B4F"/>
      <w:shd w:color="auto" w:fill="F1F3F5" w:val="clear"/>
    </w:rPr>
  </w:style>
  <w:style w:customStyle="1" w:styleId="PreprocessorTok" w:type="character">
    <w:name w:val="PreprocessorTok"/>
    <w:basedOn w:val="VerbatimChar"/>
    <w:rPr>
      <w:rFonts w:ascii="Calibri" w:hAnsi="Calibri"/>
      <w:i/>
      <w:iCs/>
      <w:color w:val="AD0000"/>
      <w:shd w:color="auto" w:fill="F1F3F5" w:val="clear"/>
    </w:rPr>
  </w:style>
  <w:style w:customStyle="1" w:styleId="AttributeTok" w:type="character">
    <w:name w:val="AttributeTok"/>
    <w:basedOn w:val="VerbatimChar"/>
    <w:rPr>
      <w:rFonts w:ascii="Calibri" w:hAnsi="Calibri"/>
      <w:i/>
      <w:iCs/>
      <w:color w:val="657422"/>
      <w:shd w:color="auto" w:fill="F1F3F5" w:val="clear"/>
    </w:rPr>
  </w:style>
  <w:style w:customStyle="1" w:styleId="RegionMarkerTok" w:type="character">
    <w:name w:val="RegionMarkerTok"/>
    <w:basedOn w:val="VerbatimChar"/>
    <w:rPr>
      <w:rFonts w:ascii="Calibri" w:hAnsi="Calibri"/>
      <w:i/>
      <w:iCs/>
      <w:color w:val="003B4F"/>
      <w:shd w:color="auto" w:fill="F1F3F5" w:val="clear"/>
    </w:rPr>
  </w:style>
  <w:style w:customStyle="1" w:styleId="InformationTok" w:type="character">
    <w:name w:val="InformationTok"/>
    <w:basedOn w:val="VerbatimChar"/>
    <w:rPr>
      <w:rFonts w:ascii="Calibri" w:hAnsi="Calibri"/>
      <w:i/>
      <w:iCs/>
      <w:color w:val="5E5E5E"/>
      <w:shd w:color="auto" w:fill="F1F3F5" w:val="clear"/>
    </w:rPr>
  </w:style>
  <w:style w:customStyle="1" w:styleId="WarningTok" w:type="character">
    <w:name w:val="WarningTok"/>
    <w:basedOn w:val="VerbatimChar"/>
    <w:rPr>
      <w:rFonts w:ascii="Calibri" w:hAnsi="Calibri"/>
      <w:i w:val="0"/>
      <w:iCs/>
      <w:color w:val="5E5E5E"/>
      <w:shd w:color="auto" w:fill="F1F3F5" w:val="clear"/>
    </w:rPr>
  </w:style>
  <w:style w:customStyle="1" w:styleId="AlertTok" w:type="character">
    <w:name w:val="AlertTok"/>
    <w:basedOn w:val="VerbatimChar"/>
    <w:rPr>
      <w:rFonts w:ascii="Calibri" w:hAnsi="Calibri"/>
      <w:i/>
      <w:iCs/>
      <w:color w:val="AD0000"/>
      <w:shd w:color="auto" w:fill="F1F3F5" w:val="clear"/>
    </w:rPr>
  </w:style>
  <w:style w:customStyle="1" w:styleId="ErrorTok" w:type="character">
    <w:name w:val="ErrorTok"/>
    <w:basedOn w:val="VerbatimChar"/>
    <w:rPr>
      <w:rFonts w:ascii="Calibri" w:hAnsi="Calibri"/>
      <w:i/>
      <w:iCs/>
      <w:color w:val="AD0000"/>
      <w:shd w:color="auto" w:fill="F1F3F5" w:val="clear"/>
    </w:rPr>
  </w:style>
  <w:style w:customStyle="1" w:styleId="NormalTok" w:type="character">
    <w:name w:val="NormalTok"/>
    <w:basedOn w:val="VerbatimChar"/>
    <w:rPr>
      <w:rFonts w:ascii="Calibri" w:hAnsi="Calibri"/>
      <w:i/>
      <w:iCs/>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svg" /><Relationship Type="http://schemas.openxmlformats.org/officeDocument/2006/relationships/image" Id="rId93" Target="media/rId93.svg" /><Relationship Type="http://schemas.openxmlformats.org/officeDocument/2006/relationships/image" Id="rId77" Target="media/rId77.svg" /><Relationship Type="http://schemas.openxmlformats.org/officeDocument/2006/relationships/image" Id="rId73" Target="media/rId73.svg" /><Relationship Type="http://schemas.openxmlformats.org/officeDocument/2006/relationships/image" Id="rId85" Target="media/rId85.svg" /><Relationship Type="http://schemas.openxmlformats.org/officeDocument/2006/relationships/image" Id="rId89" Target="media/rId89.svg" /><Relationship Type="http://schemas.openxmlformats.org/officeDocument/2006/relationships/image" Id="rId100" Target="media/rId100.svg" /><Relationship Type="http://schemas.openxmlformats.org/officeDocument/2006/relationships/image" Id="rId53" Target="media/rId53.svg" /><Relationship Type="http://schemas.openxmlformats.org/officeDocument/2006/relationships/image" Id="rId65" Target="media/rId65.svg" /><Relationship Type="http://schemas.openxmlformats.org/officeDocument/2006/relationships/image" Id="rId49" Target="media/rId49.svg" /><Relationship Type="http://schemas.openxmlformats.org/officeDocument/2006/relationships/image" Id="rId45" Target="media/rId45.svg" /><Relationship Type="http://schemas.openxmlformats.org/officeDocument/2006/relationships/image" Id="rId57" Target="media/rId57.svg" /><Relationship Type="http://schemas.openxmlformats.org/officeDocument/2006/relationships/image" Id="rId61" Target="media/rId61.svg" /><Relationship Type="http://schemas.openxmlformats.org/officeDocument/2006/relationships/image" Id="rId37" Target="media/rId37.svg" /><Relationship Type="http://schemas.openxmlformats.org/officeDocument/2006/relationships/image" Id="rId41" Target="media/rId41.svg" /><Relationship Type="http://schemas.openxmlformats.org/officeDocument/2006/relationships/hyperlink" Id="rId110" Target="" TargetMode="External" /><Relationship Type="http://schemas.openxmlformats.org/officeDocument/2006/relationships/hyperlink" Id="rId107" Target="@sup-apc" TargetMode="External" /><Relationship Type="http://schemas.openxmlformats.org/officeDocument/2006/relationships/hyperlink" Id="rId106" Target="@sup-geofacet" TargetMode="External" /><Relationship Type="http://schemas.openxmlformats.org/officeDocument/2006/relationships/hyperlink" Id="rId163" Target="http://dx.doi.org/10.1016/s0140-6736(24)00367-2" TargetMode="External" /><Relationship Type="http://schemas.openxmlformats.org/officeDocument/2006/relationships/hyperlink" Id="rId116" Target="http://ghdx.healthdata.org/gbd-results-tool" TargetMode="External" /><Relationship Type="http://schemas.openxmlformats.org/officeDocument/2006/relationships/hyperlink" Id="rId192" Target="https://CRAN.R-project.org/package=arrow" TargetMode="External" /><Relationship Type="http://schemas.openxmlformats.org/officeDocument/2006/relationships/hyperlink" Id="rId172" Target="https://CRAN.R-project.org/package=beepr" TargetMode="External" /><Relationship Type="http://schemas.openxmlformats.org/officeDocument/2006/relationships/hyperlink" Id="rId196" Target="https://CRAN.R-project.org/package=bslib" TargetMode="External" /><Relationship Type="http://schemas.openxmlformats.org/officeDocument/2006/relationships/hyperlink" Id="rId184" Target="https://CRAN.R-project.org/package=camcorder" TargetMode="External" /><Relationship Type="http://schemas.openxmlformats.org/officeDocument/2006/relationships/hyperlink" Id="rId206" Target="https://CRAN.R-project.org/package=dplyr" TargetMode="External" /><Relationship Type="http://schemas.openxmlformats.org/officeDocument/2006/relationships/hyperlink" Id="rId200" Target="https://CRAN.R-project.org/package=furrr" TargetMode="External" /><Relationship Type="http://schemas.openxmlformats.org/officeDocument/2006/relationships/hyperlink" Id="rId180" Target="https://CRAN.R-project.org/package=geofacet" TargetMode="External" /><Relationship Type="http://schemas.openxmlformats.org/officeDocument/2006/relationships/hyperlink" Id="rId190" Target="https://CRAN.R-project.org/package=gganimate" TargetMode="External" /><Relationship Type="http://schemas.openxmlformats.org/officeDocument/2006/relationships/hyperlink" Id="rId198" Target="https://CRAN.R-project.org/package=ggbump" TargetMode="External" /><Relationship Type="http://schemas.openxmlformats.org/officeDocument/2006/relationships/hyperlink" Id="rId174" Target="https://CRAN.R-project.org/package=ggnewscale" TargetMode="External" /><Relationship Type="http://schemas.openxmlformats.org/officeDocument/2006/relationships/hyperlink" Id="rId210" Target="https://CRAN.R-project.org/package=ggtext" TargetMode="External" /><Relationship Type="http://schemas.openxmlformats.org/officeDocument/2006/relationships/hyperlink" Id="rId182" Target="https://CRAN.R-project.org/package=glue" TargetMode="External" /><Relationship Type="http://schemas.openxmlformats.org/officeDocument/2006/relationships/hyperlink" Id="rId178" Target="https://CRAN.R-project.org/package=officer" TargetMode="External" /><Relationship Type="http://schemas.openxmlformats.org/officeDocument/2006/relationships/hyperlink" Id="rId168" Target="https://CRAN.R-project.org/package=rsconnect" TargetMode="External" /><Relationship Type="http://schemas.openxmlformats.org/officeDocument/2006/relationships/hyperlink" Id="rId208" Target="https://CRAN.R-project.org/package=scales" TargetMode="External" /><Relationship Type="http://schemas.openxmlformats.org/officeDocument/2006/relationships/hyperlink" Id="rId176" Target="https://CRAN.R-project.org/package=shiny" TargetMode="External" /><Relationship Type="http://schemas.openxmlformats.org/officeDocument/2006/relationships/hyperlink" Id="rId170" Target="https://CRAN.R-project.org/package=shinyjs" TargetMode="External" /><Relationship Type="http://schemas.openxmlformats.org/officeDocument/2006/relationships/hyperlink" Id="rId188" Target="https://CRAN.R-project.org/package=tibble" TargetMode="External" /><Relationship Type="http://schemas.openxmlformats.org/officeDocument/2006/relationships/hyperlink" Id="rId215" Target="https://bookdown.org/yihui/rmarkdown" TargetMode="External" /><Relationship Type="http://schemas.openxmlformats.org/officeDocument/2006/relationships/hyperlink" Id="rId217" Target="https://bookdown.org/yihui/rmarkdown-cookbook" TargetMode="External" /><Relationship Type="http://schemas.openxmlformats.org/officeDocument/2006/relationships/hyperlink" Id="rId220"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59"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38" Target="https://doi.org/10.1002/cncr.28416" TargetMode="External" /><Relationship Type="http://schemas.openxmlformats.org/officeDocument/2006/relationships/hyperlink" Id="rId267" Target="https://doi.org/10.1002/cncr.32594" TargetMode="External" /><Relationship Type="http://schemas.openxmlformats.org/officeDocument/2006/relationships/hyperlink" Id="rId232" Target="https://doi.org/10.1002/ijc.10332" TargetMode="External" /><Relationship Type="http://schemas.openxmlformats.org/officeDocument/2006/relationships/hyperlink" Id="rId261" Target="https://doi.org/10.1007/s10552-020-01366-1" TargetMode="External" /><Relationship Type="http://schemas.openxmlformats.org/officeDocument/2006/relationships/hyperlink" Id="rId230" Target="https://doi.org/10.1007/s10654-016-0138-6" TargetMode="External" /><Relationship Type="http://schemas.openxmlformats.org/officeDocument/2006/relationships/hyperlink" Id="rId248"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2"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65"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54" Target="https://doi.org/10.1016/j.scitotenv.2020.139683" TargetMode="External" /><Relationship Type="http://schemas.openxmlformats.org/officeDocument/2006/relationships/hyperlink" Id="rId236" Target="https://doi.org/10.1016/j.urolonc.2009.07.020" TargetMode="External" /><Relationship Type="http://schemas.openxmlformats.org/officeDocument/2006/relationships/hyperlink" Id="rId246" Target="https://doi.org/10.1038/s41389-023-00489-9" TargetMode="External" /><Relationship Type="http://schemas.openxmlformats.org/officeDocument/2006/relationships/hyperlink" Id="rId240" Target="https://doi.org/10.1038/s41585-023-00806-2" TargetMode="External" /><Relationship Type="http://schemas.openxmlformats.org/officeDocument/2006/relationships/hyperlink" Id="rId224" Target="https://doi.org/10.1038/s41598-018-19199-z" TargetMode="External" /><Relationship Type="http://schemas.openxmlformats.org/officeDocument/2006/relationships/hyperlink" Id="rId270"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44"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26" Target="https://doi.org/10.1186/s40779-024-00569-w" TargetMode="External" /><Relationship Type="http://schemas.openxmlformats.org/officeDocument/2006/relationships/hyperlink" Id="rId257"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04" Target="https://doi.org/10.21105/joss.01686" TargetMode="External" /><Relationship Type="http://schemas.openxmlformats.org/officeDocument/2006/relationships/hyperlink" Id="rId242"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194"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0" Target="https://doi.org/10.3892/etm.2019.7879" TargetMode="External" /><Relationship Type="http://schemas.openxmlformats.org/officeDocument/2006/relationships/hyperlink" Id="rId263" Target="https://doi.org/10.4111/icu.20230125" TargetMode="External" /><Relationship Type="http://schemas.openxmlformats.org/officeDocument/2006/relationships/hyperlink" Id="rId234" Target="https://doi.org/10.7759/cureus.27330" TargetMode="External" /><Relationship Type="http://schemas.openxmlformats.org/officeDocument/2006/relationships/hyperlink" Id="rId202" Target="https://ggplot2.tidyverse.org" TargetMode="External" /><Relationship Type="http://schemas.openxmlformats.org/officeDocument/2006/relationships/hyperlink" Id="rId186" Target="https://github.com/EmilHvitfeldt/paletteer" TargetMode="External" /><Relationship Type="http://schemas.openxmlformats.org/officeDocument/2006/relationships/hyperlink" Id="rId34" Target="https://github.com/alireza5969/bladder-cancer-gbd" TargetMode="External" /><Relationship Type="http://schemas.openxmlformats.org/officeDocument/2006/relationships/hyperlink" Id="rId72" Target="https://github.com/alireza5969/bladder-cancer-gbd/tree/main/output/figures/APC%20plot%201" TargetMode="External" /><Relationship Type="http://schemas.openxmlformats.org/officeDocument/2006/relationships/hyperlink" Id="rId111" Target="https://github.com/alireza5969/bladder-cancer-gbd/tree/main/output/figures/Bump%20plot" TargetMode="External" /><Relationship Type="http://schemas.openxmlformats.org/officeDocument/2006/relationships/hyperlink" Id="rId99" Target="https://github.com/alireza5969/bladder-cancer-gbd/tree/main/output/figures/Geofacet%20plot" TargetMode="External" /><Relationship Type="http://schemas.openxmlformats.org/officeDocument/2006/relationships/hyperlink" Id="rId70" Target="https://github.com/alireza5969/bladder-cancer-gbd/tree/main/output/figures/Population%20pyramid%20-%202021" TargetMode="External" /><Relationship Type="http://schemas.openxmlformats.org/officeDocument/2006/relationships/hyperlink" Id="rId71" Target="https://github.com/alireza5969/bladder-cancer-gbd/tree/main/output/figures/Population%20pyramid%20-%20animated" TargetMode="External" /><Relationship Type="http://schemas.openxmlformats.org/officeDocument/2006/relationships/hyperlink" Id="rId165"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2" Target="https://www.cdc.gov/brfss/brfssprevalence/" TargetMode="External" /><Relationship Type="http://schemas.openxmlformats.org/officeDocument/2006/relationships/hyperlink" Id="rId228" Target="https://www.ncbi.nlm.nih.gov/books/NBK53914/" TargetMode="External" /><Relationship Type="http://schemas.openxmlformats.org/officeDocument/2006/relationships/hyperlink" Id="rId222"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3" Target="https://yihui.org/knitr/" TargetMode="External" /><Relationship Type="http://schemas.openxmlformats.org/officeDocument/2006/relationships/hyperlink" Id="rId21" Target="mailto:Wassim.Kassouf.med@ssss.gouv.qc.ca" TargetMode="External" /><Relationship Type="http://schemas.openxmlformats.org/officeDocument/2006/relationships/hyperlink" Id="rId20"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110" Target="" TargetMode="External" /><Relationship Type="http://schemas.openxmlformats.org/officeDocument/2006/relationships/hyperlink" Id="rId107" Target="@sup-apc" TargetMode="External" /><Relationship Type="http://schemas.openxmlformats.org/officeDocument/2006/relationships/hyperlink" Id="rId106" Target="@sup-geofacet" TargetMode="External" /><Relationship Type="http://schemas.openxmlformats.org/officeDocument/2006/relationships/hyperlink" Id="rId163" Target="http://dx.doi.org/10.1016/s0140-6736(24)00367-2" TargetMode="External" /><Relationship Type="http://schemas.openxmlformats.org/officeDocument/2006/relationships/hyperlink" Id="rId116" Target="http://ghdx.healthdata.org/gbd-results-tool" TargetMode="External" /><Relationship Type="http://schemas.openxmlformats.org/officeDocument/2006/relationships/hyperlink" Id="rId192" Target="https://CRAN.R-project.org/package=arrow" TargetMode="External" /><Relationship Type="http://schemas.openxmlformats.org/officeDocument/2006/relationships/hyperlink" Id="rId172" Target="https://CRAN.R-project.org/package=beepr" TargetMode="External" /><Relationship Type="http://schemas.openxmlformats.org/officeDocument/2006/relationships/hyperlink" Id="rId196" Target="https://CRAN.R-project.org/package=bslib" TargetMode="External" /><Relationship Type="http://schemas.openxmlformats.org/officeDocument/2006/relationships/hyperlink" Id="rId184" Target="https://CRAN.R-project.org/package=camcorder" TargetMode="External" /><Relationship Type="http://schemas.openxmlformats.org/officeDocument/2006/relationships/hyperlink" Id="rId206" Target="https://CRAN.R-project.org/package=dplyr" TargetMode="External" /><Relationship Type="http://schemas.openxmlformats.org/officeDocument/2006/relationships/hyperlink" Id="rId200" Target="https://CRAN.R-project.org/package=furrr" TargetMode="External" /><Relationship Type="http://schemas.openxmlformats.org/officeDocument/2006/relationships/hyperlink" Id="rId180" Target="https://CRAN.R-project.org/package=geofacet" TargetMode="External" /><Relationship Type="http://schemas.openxmlformats.org/officeDocument/2006/relationships/hyperlink" Id="rId190" Target="https://CRAN.R-project.org/package=gganimate" TargetMode="External" /><Relationship Type="http://schemas.openxmlformats.org/officeDocument/2006/relationships/hyperlink" Id="rId198" Target="https://CRAN.R-project.org/package=ggbump" TargetMode="External" /><Relationship Type="http://schemas.openxmlformats.org/officeDocument/2006/relationships/hyperlink" Id="rId174" Target="https://CRAN.R-project.org/package=ggnewscale" TargetMode="External" /><Relationship Type="http://schemas.openxmlformats.org/officeDocument/2006/relationships/hyperlink" Id="rId210" Target="https://CRAN.R-project.org/package=ggtext" TargetMode="External" /><Relationship Type="http://schemas.openxmlformats.org/officeDocument/2006/relationships/hyperlink" Id="rId182" Target="https://CRAN.R-project.org/package=glue" TargetMode="External" /><Relationship Type="http://schemas.openxmlformats.org/officeDocument/2006/relationships/hyperlink" Id="rId178" Target="https://CRAN.R-project.org/package=officer" TargetMode="External" /><Relationship Type="http://schemas.openxmlformats.org/officeDocument/2006/relationships/hyperlink" Id="rId168" Target="https://CRAN.R-project.org/package=rsconnect" TargetMode="External" /><Relationship Type="http://schemas.openxmlformats.org/officeDocument/2006/relationships/hyperlink" Id="rId208" Target="https://CRAN.R-project.org/package=scales" TargetMode="External" /><Relationship Type="http://schemas.openxmlformats.org/officeDocument/2006/relationships/hyperlink" Id="rId176" Target="https://CRAN.R-project.org/package=shiny" TargetMode="External" /><Relationship Type="http://schemas.openxmlformats.org/officeDocument/2006/relationships/hyperlink" Id="rId170" Target="https://CRAN.R-project.org/package=shinyjs" TargetMode="External" /><Relationship Type="http://schemas.openxmlformats.org/officeDocument/2006/relationships/hyperlink" Id="rId188" Target="https://CRAN.R-project.org/package=tibble" TargetMode="External" /><Relationship Type="http://schemas.openxmlformats.org/officeDocument/2006/relationships/hyperlink" Id="rId215" Target="https://bookdown.org/yihui/rmarkdown" TargetMode="External" /><Relationship Type="http://schemas.openxmlformats.org/officeDocument/2006/relationships/hyperlink" Id="rId217" Target="https://bookdown.org/yihui/rmarkdown-cookbook" TargetMode="External" /><Relationship Type="http://schemas.openxmlformats.org/officeDocument/2006/relationships/hyperlink" Id="rId220"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59"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38" Target="https://doi.org/10.1002/cncr.28416" TargetMode="External" /><Relationship Type="http://schemas.openxmlformats.org/officeDocument/2006/relationships/hyperlink" Id="rId267" Target="https://doi.org/10.1002/cncr.32594" TargetMode="External" /><Relationship Type="http://schemas.openxmlformats.org/officeDocument/2006/relationships/hyperlink" Id="rId232" Target="https://doi.org/10.1002/ijc.10332" TargetMode="External" /><Relationship Type="http://schemas.openxmlformats.org/officeDocument/2006/relationships/hyperlink" Id="rId261" Target="https://doi.org/10.1007/s10552-020-01366-1" TargetMode="External" /><Relationship Type="http://schemas.openxmlformats.org/officeDocument/2006/relationships/hyperlink" Id="rId230" Target="https://doi.org/10.1007/s10654-016-0138-6" TargetMode="External" /><Relationship Type="http://schemas.openxmlformats.org/officeDocument/2006/relationships/hyperlink" Id="rId248"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2"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65"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54" Target="https://doi.org/10.1016/j.scitotenv.2020.139683" TargetMode="External" /><Relationship Type="http://schemas.openxmlformats.org/officeDocument/2006/relationships/hyperlink" Id="rId236" Target="https://doi.org/10.1016/j.urolonc.2009.07.020" TargetMode="External" /><Relationship Type="http://schemas.openxmlformats.org/officeDocument/2006/relationships/hyperlink" Id="rId246" Target="https://doi.org/10.1038/s41389-023-00489-9" TargetMode="External" /><Relationship Type="http://schemas.openxmlformats.org/officeDocument/2006/relationships/hyperlink" Id="rId240" Target="https://doi.org/10.1038/s41585-023-00806-2" TargetMode="External" /><Relationship Type="http://schemas.openxmlformats.org/officeDocument/2006/relationships/hyperlink" Id="rId224" Target="https://doi.org/10.1038/s41598-018-19199-z" TargetMode="External" /><Relationship Type="http://schemas.openxmlformats.org/officeDocument/2006/relationships/hyperlink" Id="rId270"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44"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26" Target="https://doi.org/10.1186/s40779-024-00569-w" TargetMode="External" /><Relationship Type="http://schemas.openxmlformats.org/officeDocument/2006/relationships/hyperlink" Id="rId257"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04" Target="https://doi.org/10.21105/joss.01686" TargetMode="External" /><Relationship Type="http://schemas.openxmlformats.org/officeDocument/2006/relationships/hyperlink" Id="rId242"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194"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0" Target="https://doi.org/10.3892/etm.2019.7879" TargetMode="External" /><Relationship Type="http://schemas.openxmlformats.org/officeDocument/2006/relationships/hyperlink" Id="rId263" Target="https://doi.org/10.4111/icu.20230125" TargetMode="External" /><Relationship Type="http://schemas.openxmlformats.org/officeDocument/2006/relationships/hyperlink" Id="rId234" Target="https://doi.org/10.7759/cureus.27330" TargetMode="External" /><Relationship Type="http://schemas.openxmlformats.org/officeDocument/2006/relationships/hyperlink" Id="rId202" Target="https://ggplot2.tidyverse.org" TargetMode="External" /><Relationship Type="http://schemas.openxmlformats.org/officeDocument/2006/relationships/hyperlink" Id="rId186" Target="https://github.com/EmilHvitfeldt/paletteer" TargetMode="External" /><Relationship Type="http://schemas.openxmlformats.org/officeDocument/2006/relationships/hyperlink" Id="rId34" Target="https://github.com/alireza5969/bladder-cancer-gbd" TargetMode="External" /><Relationship Type="http://schemas.openxmlformats.org/officeDocument/2006/relationships/hyperlink" Id="rId72" Target="https://github.com/alireza5969/bladder-cancer-gbd/tree/main/output/figures/APC%20plot%201" TargetMode="External" /><Relationship Type="http://schemas.openxmlformats.org/officeDocument/2006/relationships/hyperlink" Id="rId111" Target="https://github.com/alireza5969/bladder-cancer-gbd/tree/main/output/figures/Bump%20plot" TargetMode="External" /><Relationship Type="http://schemas.openxmlformats.org/officeDocument/2006/relationships/hyperlink" Id="rId99" Target="https://github.com/alireza5969/bladder-cancer-gbd/tree/main/output/figures/Geofacet%20plot" TargetMode="External" /><Relationship Type="http://schemas.openxmlformats.org/officeDocument/2006/relationships/hyperlink" Id="rId70" Target="https://github.com/alireza5969/bladder-cancer-gbd/tree/main/output/figures/Population%20pyramid%20-%202021" TargetMode="External" /><Relationship Type="http://schemas.openxmlformats.org/officeDocument/2006/relationships/hyperlink" Id="rId71" Target="https://github.com/alireza5969/bladder-cancer-gbd/tree/main/output/figures/Population%20pyramid%20-%20animated" TargetMode="External" /><Relationship Type="http://schemas.openxmlformats.org/officeDocument/2006/relationships/hyperlink" Id="rId165"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2" Target="https://www.cdc.gov/brfss/brfssprevalence/" TargetMode="External" /><Relationship Type="http://schemas.openxmlformats.org/officeDocument/2006/relationships/hyperlink" Id="rId228" Target="https://www.ncbi.nlm.nih.gov/books/NBK53914/" TargetMode="External" /><Relationship Type="http://schemas.openxmlformats.org/officeDocument/2006/relationships/hyperlink" Id="rId222"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3" Target="https://yihui.org/knitr/" TargetMode="External" /><Relationship Type="http://schemas.openxmlformats.org/officeDocument/2006/relationships/hyperlink" Id="rId21" Target="mailto:Wassim.Kassouf.med@ssss.gouv.qc.ca" TargetMode="External" /><Relationship Type="http://schemas.openxmlformats.org/officeDocument/2006/relationships/hyperlink" Id="rId20"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1980-2021</dc:title>
  <dc:creator>Alireza Sadeghi1,✉, Fatemeh Nouri1, Niloofar Dehdari Ebrahimi1, Ehsan Taherifard1, and Wassim Kassouf2,✉</dc:creator>
  <cp:keywords>bladder cancer, global burden of disease, United States of America, incidence, mortality, prevalence</cp:keywords>
  <dcterms:created xsi:type="dcterms:W3CDTF">2025-12-12T03:44:24Z</dcterms:created>
  <dcterms:modified xsi:type="dcterms:W3CDTF">2025-12-12T03:44:24Z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bladder.bib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