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svg" ContentType="image/svg+xml"/>
  <Override PartName="/word/media/rId92.svg" ContentType="image/svg+xml"/>
  <Override PartName="/word/media/rId76.svg" ContentType="image/svg+xml"/>
  <Override PartName="/word/media/rId72.svg" ContentType="image/svg+xml"/>
  <Override PartName="/word/media/rId84.svg" ContentType="image/svg+xml"/>
  <Override PartName="/word/media/rId88.svg" ContentType="image/svg+xml"/>
  <Override PartName="/word/media/rId99.svg" ContentType="image/svg+xml"/>
  <Override PartName="/word/media/rId52.svg" ContentType="image/svg+xml"/>
  <Override PartName="/word/media/rId64.svg" ContentType="image/svg+xml"/>
  <Override PartName="/word/media/rId48.svg" ContentType="image/svg+xml"/>
  <Override PartName="/word/media/rId44.svg" ContentType="image/svg+xml"/>
  <Override PartName="/word/media/rId56.svg" ContentType="image/svg+xml"/>
  <Override PartName="/word/media/rId60.svg" ContentType="image/svg+xml"/>
  <Override PartName="/word/media/rId36.svg" ContentType="image/svg+xml"/>
  <Override PartName="/word/media/rId40.svg" ContentType="image/svg+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21">
        <w:r>
          <w:rPr>
            <w:rStyle w:val="Hyperlink"/>
          </w:rPr>
          <w:t xml:space="preserve">alireza.sadeghi.md@gmail.com</w:t>
        </w:r>
      </w:hyperlink>
    </w:p>
    <w:p>
      <w:pPr>
        <w:numPr>
          <w:ilvl w:val="0"/>
          <w:numId w:val="1001"/>
        </w:numPr>
      </w:pPr>
      <w:r>
        <w:t xml:space="preserve">ORCID</w:t>
      </w:r>
      <w:r>
        <w:t xml:space="preserve"> </w:t>
      </w:r>
      <w:hyperlink r:id="rId22">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23">
        <w:r>
          <w:rPr>
            <w:rStyle w:val="Hyperlink"/>
          </w:rPr>
          <w:t xml:space="preserve">nouri.fatmh@gmail.com</w:t>
        </w:r>
      </w:hyperlink>
    </w:p>
    <w:p>
      <w:pPr>
        <w:numPr>
          <w:ilvl w:val="0"/>
          <w:numId w:val="1002"/>
        </w:numPr>
      </w:pPr>
      <w:r>
        <w:t xml:space="preserve">ORCID</w:t>
      </w:r>
      <w:r>
        <w:t xml:space="preserve"> </w:t>
      </w:r>
      <w:hyperlink r:id="rId24">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25">
        <w:r>
          <w:rPr>
            <w:rStyle w:val="Hyperlink"/>
          </w:rPr>
          <w:t xml:space="preserve">niloofar.dehdari6021@gmail.com</w:t>
        </w:r>
      </w:hyperlink>
    </w:p>
    <w:p>
      <w:pPr>
        <w:numPr>
          <w:ilvl w:val="0"/>
          <w:numId w:val="1003"/>
        </w:numPr>
      </w:pPr>
      <w:r>
        <w:t xml:space="preserve">ORCID</w:t>
      </w:r>
      <w:r>
        <w:t xml:space="preserve"> </w:t>
      </w:r>
      <w:hyperlink r:id="rId26">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27">
        <w:r>
          <w:rPr>
            <w:rStyle w:val="Hyperlink"/>
          </w:rPr>
          <w:t xml:space="preserve">etaherim123@gmail.com</w:t>
        </w:r>
      </w:hyperlink>
    </w:p>
    <w:p>
      <w:pPr>
        <w:numPr>
          <w:ilvl w:val="0"/>
          <w:numId w:val="1004"/>
        </w:numPr>
      </w:pPr>
      <w:r>
        <w:t xml:space="preserve">ORCID</w:t>
      </w:r>
      <w:r>
        <w:t xml:space="preserve"> </w:t>
      </w:r>
      <w:hyperlink r:id="rId28">
        <w:r>
          <w:rPr>
            <w:rStyle w:val="Hyperlink"/>
          </w:rPr>
          <w:t xml:space="preserve">0000-0002-8438-4990</w:t>
        </w:r>
      </w:hyperlink>
    </w:p>
    <w:p>
      <w:pPr>
        <w:pStyle w:val="FirstParagraph"/>
      </w:pPr>
      <w:r>
        <w:t xml:space="preserve">Wassim Kassouf</w:t>
      </w:r>
    </w:p>
    <w:p>
      <w:pPr>
        <w:numPr>
          <w:ilvl w:val="0"/>
          <w:numId w:val="1005"/>
        </w:numPr>
      </w:pPr>
      <w:r>
        <w:t xml:space="preserve">Email</w:t>
      </w:r>
      <w:r>
        <w:t xml:space="preserve"> </w:t>
      </w:r>
      <w:hyperlink r:id="rId20">
        <w:r>
          <w:rPr>
            <w:rStyle w:val="Hyperlink"/>
          </w:rPr>
          <w:t xml:space="preserve">Wassim.Kassouf.med@ssss.gouv.qc.ca</w:t>
        </w:r>
      </w:hyperlink>
    </w:p>
    <w:p>
      <w:pPr>
        <w:numPr>
          <w:ilvl w:val="0"/>
          <w:numId w:val="1005"/>
        </w:numPr>
      </w:pPr>
      <w:r>
        <w:t xml:space="preserve">ORCID</w:t>
      </w:r>
      <w:r>
        <w:t xml:space="preserve"> </w:t>
      </w:r>
      <w:hyperlink r:id="rId29">
        <w:r>
          <w:rPr>
            <w:rStyle w:val="Hyperlink"/>
          </w:rPr>
          <w:t xml:space="preserve">0000-0002-8350-0531</w:t>
        </w:r>
      </w:hyperlink>
    </w:p>
    <w:p>
      <w:r>
        <w:br w:type="page"/>
      </w:r>
    </w:p>
    <w:bookmarkStart w:id="30"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however, population health outcomes do not consistently reflect this level of investment.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years lived with disability, and years of life lost, and to evaluate state-level disparities and potential long-term effects of health policies.</w:t>
      </w:r>
      <w:r>
        <w:br/>
      </w:r>
      <w:r>
        <w:rPr>
          <w:b/>
          <w:bCs/>
        </w:rPr>
        <w:t xml:space="preserve">Methodology:</w:t>
      </w:r>
      <w:r>
        <w:t xml:space="preserve"> </w:t>
      </w:r>
      <w:r>
        <w:t xml:space="preserve">Data were obtained from the Global Burden of Disease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United States recorded age-standardized rates of 8.35 for YLDs (0.33 lower), 3.41 for mortality (0.11 higher), 59.80 for YLLs (6.75 higher), 100.63 for prevalence (6.61 lower), 14.69 for incidence (0.51 lower), and 68.15 for DALYs (6.42 higher) compared to 1990 records.</w:t>
      </w:r>
      <w:r>
        <w:br/>
      </w:r>
      <w:r>
        <w:rPr>
          <w:b/>
          <w:bCs/>
        </w:rPr>
        <w:t xml:space="preserve">Conclusion:</w:t>
      </w:r>
      <w:r>
        <w:t xml:space="preserve"> </w:t>
      </w:r>
      <w:r>
        <w:t xml:space="preserve">Bladder cancer continues to impose a substantial and uneven burden across the U.S.. Reducing these disparities will require targeted public health strategies and region-specific policies that address modifiable risk factors, enhance diagnostic equity, and expand access to timely detection and appropriate care.</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30"/>
    <w:bookmarkStart w:id="31"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Although cigarette smoking has historically been the predominant risk factor for BC</w:t>
      </w:r>
      <w:r>
        <w:t xml:space="preserve"> </w:t>
      </w:r>
      <w:r>
        <w:t xml:space="preserve">(8)</w:t>
      </w:r>
      <w:r>
        <w:t xml:space="preserve">, accumulating evidence indicates that a broader spectrum of carcinogenic exposures contributes to its incidence. These include arsenic-contaminated drinking water, occupational and cosmetic chemicals (such as those found in hair dyes), dietary factors, and widespread environmental pollutants</w:t>
      </w:r>
      <w:r>
        <w:t xml:space="preserve"> </w:t>
      </w:r>
      <w:r>
        <w:t xml:space="preserve">(9)</w:t>
      </w:r>
      <w:r>
        <w:t xml:space="preserve">. Notably, despite a sustained decline in cigarette smoking prevalence since 1998</w:t>
      </w:r>
      <w:r>
        <w:t xml:space="preserve"> </w:t>
      </w:r>
      <w:r>
        <w:t xml:space="preserve">(10)</w:t>
      </w:r>
      <w:r>
        <w:t xml:space="preserve"> </w:t>
      </w:r>
      <w:r>
        <w:t xml:space="preserve">and the introduction of stricter regulations on aryl amines, BC incidence has not declined in parallel</w:t>
      </w:r>
      <w:r>
        <w:t xml:space="preserve"> </w:t>
      </w:r>
      <w:r>
        <w:t xml:space="preserve">(11)</w:t>
      </w:r>
      <w:r>
        <w:t xml:space="preserve">. This lack of concordance suggests that other environmental and occupational exposures may be driving contemporary disease patterns, particularly in regions with limited regulatory oversight. Elevated BC incidence in certain New England states, for example, has been partially attributed to environmental carcinogens such as arsenic contamination from private household wells</w:t>
      </w:r>
      <w:r>
        <w:t xml:space="preserve"> </w:t>
      </w:r>
      <w:r>
        <w:t xml:space="preserve">(12,13)</w:t>
      </w:r>
      <w:r>
        <w:t xml:space="preserve">. The interaction of these exposures with persistent regional and socioeconomic disparities represents a critical yet incompletely characterized public health concern, warranting focused surveillance, research, and policy attention.</w:t>
      </w:r>
    </w:p>
    <w:p>
      <w:pPr>
        <w:pStyle w:val="BodyText"/>
      </w:pPr>
      <w:r>
        <w:t xml:space="preserve">Substantial geographic heterogeneity in BC incidence and outcomes has been documented across the U.S.</w:t>
      </w:r>
      <w:r>
        <w:t xml:space="preserve"> </w:t>
      </w:r>
      <w:r>
        <w:t xml:space="preserve">(14–17)</w:t>
      </w:r>
      <w:r>
        <w:t xml:space="preserve">. For instance, Maine reported an age-standardized incidence rate of 26.7 during 2017–2021, nearly double that observed in Hawaii (13.4)</w:t>
      </w:r>
      <w:r>
        <w:t xml:space="preserve"> </w:t>
      </w:r>
      <w:r>
        <w:t xml:space="preserve">(18)</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(16)</w:t>
      </w:r>
      <w:r>
        <w:t xml:space="preserve">, whereas mortality is disproportionately greater in Southern states</w:t>
      </w:r>
      <w:r>
        <w:t xml:space="preserve"> </w:t>
      </w:r>
      <w:r>
        <w:t xml:space="preserve">(19)</w:t>
      </w:r>
      <w:r>
        <w:t xml:space="preserve">, where higher proportions of older adults, African Americans, and rural residents may experience delayed diagnosis and reduced access to high-quality treatment</w:t>
      </w:r>
      <w:r>
        <w:t xml:space="preserve"> </w:t>
      </w:r>
      <w:r>
        <w:t xml:space="preserve">(20)</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project produces comprehensive estimates of disability-adjusted life years, years lived with disability, and years of life lost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(21)</w:t>
      </w:r>
      <w:r>
        <w:t xml:space="preserve">, whereas women often present with more advanced disease and have poorer survival</w:t>
      </w:r>
      <w:r>
        <w:t xml:space="preserve"> </w:t>
      </w:r>
      <w:r>
        <w:t xml:space="preserve">(22)</w:t>
      </w:r>
      <w:r>
        <w:t xml:space="preserve">; however, the geographic distribution of these sex-specific disparities has not been systematically evaluated at the state level.</w:t>
      </w:r>
    </w:p>
    <w:p>
      <w:pPr>
        <w:pStyle w:val="BodyText"/>
      </w:pPr>
      <w:r>
        <w:t xml:space="preserve">To address these gaps, we use data from the Global Burden of Disease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31"/>
    <w:bookmarkStart w:id="35" w:name="methodology"/>
    <w:p>
      <w:pPr>
        <w:pStyle w:val="Heading1"/>
      </w:pPr>
      <w:r>
        <w:t xml:space="preserve">3. Methodology</w:t>
      </w:r>
    </w:p>
    <w:bookmarkStart w:id="32" w:name="study-design-and-data-sources"/>
    <w:p>
      <w:pPr>
        <w:pStyle w:val="Heading2"/>
      </w:pPr>
      <w:r>
        <w:t xml:space="preserve">3.1 Study Design and Data Sources</w:t>
      </w:r>
    </w:p>
    <w:p>
      <w:pPr>
        <w:pStyle w:val="FirstParagraph"/>
      </w:pPr>
      <w:r>
        <w:t xml:space="preserve">This population-based study used data from the Global Burden of Disease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bladder cancer (BC) burden at national and subnational levels</w:t>
      </w:r>
      <w:r>
        <w:t xml:space="preserve"> </w:t>
      </w:r>
      <w:r>
        <w:t xml:space="preserve">(23,24)</w:t>
      </w:r>
      <w:r>
        <w:t xml:space="preserve">. All data are publicly available through the GBD Results Tool and GBD Exchange.</w:t>
      </w:r>
    </w:p>
    <w:p>
      <w:pPr>
        <w:pStyle w:val="BodyText"/>
      </w:pPr>
      <w:r>
        <w:t xml:space="preserve">We analyzed BC burden across all U.S. states from 1980 to 2021. Estimates for incidence, prevalence, mortality, years of life lost, years lived with disability, and disability-adjusted life years were extracted for males, females, both sexes combined, and all age groups. For international benchmarking, corresponding data were also retrieved for the European Union, high-income countries, and high Socio-Demographic Index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32"/>
    <w:bookmarkStart w:id="33"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coding system: ICD-10 codes C67–C67.9 and ICD-9 codes 188–188.9, V10.51, V16.52, and V76.3</w:t>
      </w:r>
      <w:r>
        <w:t xml:space="preserve"> </w:t>
      </w:r>
      <w:r>
        <w:t xml:space="preserve">(23,25)</w:t>
      </w:r>
      <w:r>
        <w:t xml:space="preserve">.</w:t>
      </w:r>
    </w:p>
    <w:p>
      <w:pPr>
        <w:pStyle w:val="DefinitionTerm"/>
      </w:pPr>
      <w:r>
        <w:t xml:space="preserve">Disability-adjusted life years</w:t>
      </w:r>
    </w:p>
    <w:p>
      <w:pPr>
        <w:pStyle w:val="Definition"/>
      </w:pPr>
      <w:r>
        <w:t xml:space="preserve">A summary measure of population health that quantifies the gap between current health status and an ideal standard in which the entire population lives to advanced age in full health. This metric combines years lived with disability and years of life lost due to premature mortality.</w:t>
      </w:r>
    </w:p>
    <w:p>
      <w:pPr>
        <w:pStyle w:val="DefinitionTerm"/>
      </w:pPr>
      <w:r>
        <w:t xml:space="preserve">Years of life lost</w:t>
      </w:r>
    </w:p>
    <w:p>
      <w:pPr>
        <w:pStyle w:val="Definition"/>
      </w:pPr>
      <w:r>
        <w:t xml:space="preserve">The fatal component of disability-adjusted life years, reflecting the number of years lost due to death occurring before the reference life expectancy.</w:t>
      </w:r>
    </w:p>
    <w:p>
      <w:pPr>
        <w:pStyle w:val="DefinitionTerm"/>
      </w:pPr>
      <w:r>
        <w:t xml:space="preserve">Years lived with disability</w:t>
      </w:r>
    </w:p>
    <w:p>
      <w:pPr>
        <w:pStyle w:val="Definition"/>
      </w:pPr>
      <w:r>
        <w:t xml:space="preserve">The non-fatal component of disability-adjusted life years, representing time lived in health states less than full health, weighted by severity.</w:t>
      </w:r>
    </w:p>
    <w:p>
      <w:pPr>
        <w:pStyle w:val="DefinitionTerm"/>
      </w:pPr>
      <w:r>
        <w:t xml:space="preserve">Socio-Demographic Index</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(26)</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33"/>
    <w:bookmarkStart w:id="34"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reflect the GBD Bayesian modeling framework and are defined by the 2.5th and 97.5th percentiles of 500 posterior draws. These intervals account for multiple sources of uncertainty, including data sparsity, measurement error, and model specification</w:t>
      </w:r>
      <w:r>
        <w:t xml:space="preserve"> </w:t>
      </w:r>
      <w:r>
        <w:t xml:space="preserve">(24)</w:t>
      </w:r>
      <w:r>
        <w:t xml:space="preserve">.</w:t>
      </w:r>
    </w:p>
    <w:p>
      <w:pPr>
        <w:pStyle w:val="BodyText"/>
      </w:pPr>
      <w:r>
        <w:t xml:space="preserve">All analyses were conducted using R version 4.5.1 (2025-06-13 ucrt). A total of 28 R packages were used to support data acquisition, processing, visualization, analysis, and reproducibility</w:t>
      </w:r>
      <w:r>
        <w:t xml:space="preserve"> </w:t>
      </w:r>
      <w:r>
        <w:t xml:space="preserve">(27–55)</w:t>
      </w:r>
      <w:r>
        <w:t xml:space="preserve">. Complete analytic code, data-processing workflows, and supplementary materials are available in the study’s GitHub repository (https://github.com/alireza5969/gbd-bladder-cancer).</w:t>
      </w:r>
    </w:p>
    <w:bookmarkEnd w:id="34"/>
    <w:bookmarkEnd w:id="35"/>
    <w:bookmarkStart w:id="104" w:name="results"/>
    <w:p>
      <w:pPr>
        <w:pStyle w:val="Heading1"/>
      </w:pPr>
      <w:r>
        <w:t xml:space="preserve">4. Results</w:t>
      </w:r>
    </w:p>
    <w:bookmarkStart w:id="97" w:name="u.s.-compared-to-competing-countries"/>
    <w:p>
      <w:pPr>
        <w:pStyle w:val="Heading2"/>
      </w:pPr>
      <w:r>
        <w:t xml:space="preserve">4.1 U.S. Compared to Competing Countries</w:t>
      </w:r>
    </w:p>
    <w:p>
      <w:pPr>
        <w:pStyle w:val="FirstParagraph"/>
      </w:pPr>
      <w:r>
        <w:t xml:space="preserve">In 2021, the age-standardized incidence rates in the U.S. were 24.0 [22.4, 25.2] and</w:t>
      </w:r>
      <w:r>
        <w:t xml:space="preserve"> </w:t>
      </w:r>
      <w:r>
        <w:t xml:space="preserve">7.1 [6.3, 7.4] for men and women, respectively, corresponding to mortality rates</w:t>
      </w:r>
      <w:r>
        <w:t xml:space="preserve"> </w:t>
      </w:r>
      <w:r>
        <w:t xml:space="preserve">of 5.8 [5.2, 6.1] and 1.7 [1.4, 1.8]. In the same year,</w:t>
      </w:r>
      <w:r>
        <w:t xml:space="preserve"> </w:t>
      </w:r>
      <w:r>
        <w:t xml:space="preserve">European Union, high-income, and high-SDI countries reported mortality rates of</w:t>
      </w:r>
      <w:r>
        <w:t xml:space="preserve"> </w:t>
      </w:r>
      <w:r>
        <w:t xml:space="preserve">4.6 [4.1, 4.893], 3.5 [3.1, 3.723], and</w:t>
      </w:r>
      <w:r>
        <w:t xml:space="preserve"> </w:t>
      </w:r>
      <w:r>
        <w:t xml:space="preserve">3.4 [3.0, 3.611], respectively, for both sexes combined.</w:t>
      </w:r>
    </w:p>
    <w:p>
      <w:pPr>
        <w:pStyle w:val="BodyText"/>
      </w:pPr>
      <w:r>
        <w:t xml:space="preserve">With peak age-standardized incidence and prevalence rates of 16.5 [15.4, 17] and</w:t>
      </w:r>
      <w:r>
        <w:t xml:space="preserve"> </w:t>
      </w:r>
      <w:r>
        <w:t xml:space="preserve">113.9 [108.3, 117] observed in 2011, the U.S. has exhibited persistently higher incidence and</w:t>
      </w:r>
      <w:r>
        <w:t xml:space="preserve"> </w:t>
      </w:r>
      <w:r>
        <w:t xml:space="preserve">prevalence of BC compared with competing countries throughout most of the 1980–2021 period. In</w:t>
      </w:r>
      <w:r>
        <w:t xml:space="preserve"> </w:t>
      </w:r>
      <w:r>
        <w:t xml:space="preserve">contrast, age-standardized rates of disability-adjusted life years, years of life lost, and</w:t>
      </w:r>
      <w:r>
        <w:t xml:space="preserve"> </w:t>
      </w:r>
      <w:r>
        <w:t xml:space="preserve">mortality in the U.S. have remained lower than those of comparator regions since the early 2000s.</w:t>
      </w:r>
      <w:r>
        <w:t xml:space="preserve"> </w:t>
      </w:r>
      <w:r>
        <w:t xml:space="preserve">Notably, the pronounced and consistent declining trends observed in competing countries are largely</w:t>
      </w:r>
      <w:r>
        <w:t xml:space="preserve"> </w:t>
      </w:r>
      <w:r>
        <w:t xml:space="preserve">absent in the U.S. Although these burden metrics have historically been lower in the U.S., competing</w:t>
      </w:r>
      <w:r>
        <w:t xml:space="preserve"> </w:t>
      </w:r>
      <w:r>
        <w:t xml:space="preserve">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performance"/>
          <w:p>
            <w:pPr>
              <w:pStyle w:val="Compact"/>
              <w:jc w:val="center"/>
            </w:pPr>
            <w:r>
              <w:drawing>
                <wp:inline>
                  <wp:extent cx="6400800" cy="4095427"/>
                  <wp:effectExtent b="0" l="0" r="0" t="0"/>
                  <wp:docPr descr="" title="" id="37" name="Picture"/>
                  <a:graphic>
                    <a:graphicData uri="http://schemas.openxmlformats.org/drawingml/2006/picture">
                      <pic:pic>
                        <pic:nvPicPr>
                          <pic:cNvPr descr="output/figures/US%20performance%20plot/fig_B_Bladder%20cancer_Rate.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39"/>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tbl-percentchange">
        <w:r>
          <w:rPr>
            <w:rStyle w:val="Hyperlink"/>
          </w:rPr>
          <w:t xml:space="preserve">Table 1</w:t>
        </w:r>
      </w:hyperlink>
      <w:r>
        <w:t xml:space="preserve">, which presents the percentage change in age-standardized rates between 1980 and</w:t>
      </w:r>
      <w:r>
        <w:t xml:space="preserve"> </w:t>
      </w:r>
      <w:r>
        <w:t xml:space="preserve">2021 for all burden measures. Consistent with the visual trends, the table demonstrates significant</w:t>
      </w:r>
      <w:r>
        <w:t xml:space="preserve"> </w:t>
      </w:r>
      <w:r>
        <w:t xml:space="preserve">reductions in disability-adjusted life years (men: 34.6% [40.3%, 29.2%]; women: 26.6% [36.2%, 17.6%], men: 30.9% [36.8%, 25.4%]; women: 24.5% [34.4%, 15.5%],</w:t>
      </w:r>
      <w:r>
        <w:t xml:space="preserve"> </w:t>
      </w:r>
      <w:r>
        <w:t xml:space="preserve">men: 30.2% [36.0%, 24.2%]; women: 19.4% [29.4%, 10.8%], and men: 11.8% [20.1%, 4.6%]; women: 12.4% [23.1%, 2.1%]) and years of life lost</w:t>
      </w:r>
      <w:r>
        <w:t xml:space="preserve"> </w:t>
      </w:r>
      <w:r>
        <w:t xml:space="preserve">(men: 36.4% [41.7%, 31.4%]; women: 28.4% [37.4%, 19.9%], men: 32.6% [38.2%, 27.5%]; women: 26.2% [35.5%, 17.4%], men: 31.9% [37.4%, 26.3%]; women: 21.3% [31.3%, 12.9%], and</w:t>
      </w:r>
      <w:r>
        <w:t xml:space="preserve"> </w:t>
      </w:r>
      <w:r>
        <w:t xml:space="preserve">men: 13.3% [20.3%, 7.3%]; women: 13.9% [24.2%, 4.6%]) across high-income and high-SDI countries, the European Union, and the U.S.,</w:t>
      </w:r>
      <w:r>
        <w:t xml:space="preserve"> </w:t>
      </w:r>
      <w:r>
        <w:t xml:space="preserve">respectively. By contrast, while high-income and high-SDI countries and the European Union achieved</w:t>
      </w:r>
      <w:r>
        <w:t xml:space="preserve"> </w:t>
      </w:r>
      <w:r>
        <w:t xml:space="preserve">significant declines in mortality (men: 30.7% [37.8%, 23.8%]; women: 26.2% [38.8%, 14.0%], men: 27.3% [34.9%, 20.4%]; women: 23.3% [36.5%, 11.0%], and</w:t>
      </w:r>
      <w:r>
        <w:t xml:space="preserve"> </w:t>
      </w:r>
      <w:r>
        <w:t xml:space="preserve">men: 26.6% [33.9%, 19.5%]; women: 21.3% [33.8%, 10.1%], respectively) and male incidence</w:t>
      </w:r>
      <w:r>
        <w:t xml:space="preserve"> </w:t>
      </w:r>
      <w:r>
        <w:t xml:space="preserve">(15.3% [22.0%, 9.4%], 11.8% [18.5%, 5.9%],</w:t>
      </w:r>
      <w:r>
        <w:t xml:space="preserve"> </w:t>
      </w:r>
      <w:r>
        <w:t xml:space="preserve">10.0% [17.6%, 3.2%]), changes in the U.S. were comparatively modest and statistically</w:t>
      </w:r>
      <w:r>
        <w:t xml:space="preserve"> </w:t>
      </w:r>
      <w:r>
        <w:t xml:space="preserve">non-significant (0.4% [7.9%, 5.7%]).</w:t>
      </w:r>
    </w:p>
    <w:tbl>
      <w:tblPr>
        <w:tblStyle w:val="Table"/>
        <w:tblW w:type="pct" w:w="5000"/>
        <w:tblLayout w:type="fixed"/>
        <w:tblLook w:firstRow="0" w:lastRow="0" w:firstColumn="0" w:lastColumn="0" w:noHBand="0" w:noVBand="0" w:val="0000"/>
      </w:tblPr>
      <w:tblGrid>
        <w:gridCol w:w="7920"/>
      </w:tblGrid>
      <w:tr>
        <w:tc>
          <w:tcPr/>
          <w:bookmarkStart w:id="43" w:name="tbl-percentchange"/>
          <w:p>
            <w:pPr>
              <w:jc w:val="center"/>
            </w:pPr>
            <w:pPr>
              <w:jc w:val="left"/>
              <w:spacing w:before="200"/>
              <w:pStyle w:val="ImageCaption"/>
            </w:pPr>
            <w:r>
              <w:t xml:space="preserve">Table 1: 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w:t>
            </w:r>
          </w:p>
          <w:p>
            <w:pPr>
              <w:pStyle w:val="Compact"/>
              <w:jc w:val="center"/>
            </w:pPr>
            <w:r>
              <w:drawing>
                <wp:inline>
                  <wp:extent cx="6400800" cy="17287911"/>
                  <wp:effectExtent b="0" l="0" r="0" t="0"/>
                  <wp:docPr descr="" title="" id="41" name="Picture"/>
                  <a:graphic>
                    <a:graphicData uri="http://schemas.openxmlformats.org/drawingml/2006/picture">
                      <pic:pic>
                        <pic:nvPicPr>
                          <pic:cNvPr descr="output/tables/Percent%20change%20since%201980%20in%20Bladder%20cancer%20measure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6400800" cy="17287911"/>
                          </a:xfrm>
                          <a:prstGeom prst="rect">
                            <a:avLst/>
                          </a:prstGeom>
                          <a:noFill/>
                          <a:ln w="9525">
                            <a:noFill/>
                            <a:headEnd/>
                            <a:tailEnd/>
                          </a:ln>
                        </pic:spPr>
                      </pic:pic>
                    </a:graphicData>
                  </a:graphic>
                </wp:inline>
              </w:drawing>
            </w:r>
          </w:p>
          <w:bookmarkEnd w:id="43"/>
        </w:tc>
      </w:tr>
    </w:tbl>
    <w:p>
      <w:pPr>
        <w:pStyle w:val="SourceCode"/>
      </w:pPr>
      <w:r>
        <w:rPr>
          <w:rStyle w:val="VerbatimChar"/>
        </w:rPr>
        <w:t xml:space="preserve">Abbreviations: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r>
        <w:t xml:space="preserve">As illustrated in</w:t>
      </w:r>
      <w:r>
        <w:t xml:space="preserve"> </w:t>
      </w:r>
      <w:hyperlink w:anchor="fig-pyramid">
        <w:r>
          <w:rPr>
            <w:rStyle w:val="Hyperlink"/>
          </w:rPr>
          <w:t xml:space="preserve">Figure 2</w:t>
        </w:r>
      </w:hyperlink>
      <w:r>
        <w:t xml:space="preserve">, all burden measures in 2021 were consistently higher in men across</w:t>
      </w:r>
      <w:r>
        <w:t xml:space="preserve"> </w:t>
      </w:r>
      <w:r>
        <w:t xml:space="preserve">all age groups. The highest age-specific rates for each burden metric were observed in 80+ and 75-79</w:t>
      </w:r>
      <w:r>
        <w:t xml:space="preserve"> </w:t>
      </w:r>
      <w:r>
        <w:t xml:space="preserve">age strata.</w:t>
      </w:r>
    </w:p>
    <w:p>
      <w:pPr>
        <w:numPr>
          <w:ilvl w:val="0"/>
          <w:numId w:val="1006"/>
        </w:numPr>
      </w:pPr>
      <w:r>
        <w:t xml:space="preserve">YLDs: 143.8 [108.0, 184.6] in men and 40.0 [28.7, 52.0] in women in 80+ years age group.</w:t>
      </w:r>
    </w:p>
    <w:p>
      <w:pPr>
        <w:numPr>
          <w:ilvl w:val="0"/>
          <w:numId w:val="1006"/>
        </w:numPr>
      </w:pPr>
      <w:r>
        <w:t xml:space="preserve">Prevalence: 1,635.3 [1,526.9, 1,709.5] in men and 469.3 [415.0, 502.5] in women in 75-79 years age group.</w:t>
      </w:r>
    </w:p>
    <w:p>
      <w:pPr>
        <w:numPr>
          <w:ilvl w:val="0"/>
          <w:numId w:val="1006"/>
        </w:numPr>
      </w:pPr>
      <w:r>
        <w:t xml:space="preserve">Incidence: 325.0 [274.1, 349.7] in men and 87.8 [67.6, 98.3] in women in 80+ years age group.</w:t>
      </w:r>
    </w:p>
    <w:p>
      <w:pPr>
        <w:numPr>
          <w:ilvl w:val="0"/>
          <w:numId w:val="1006"/>
        </w:numPr>
      </w:pPr>
      <w:r>
        <w:t xml:space="preserve">DALYs: 1,694.0 [1,443.1, 1,829.1] in men and 480.8 [372.3, 541.0] in women in 80+ years age group.</w:t>
      </w:r>
    </w:p>
    <w:p>
      <w:pPr>
        <w:numPr>
          <w:ilvl w:val="0"/>
          <w:numId w:val="1006"/>
        </w:numPr>
      </w:pPr>
      <w:r>
        <w:t xml:space="preserve">Deaths: 149.2 [125.3, 160.9] in men and 43.8 [33.8, 49.2] in women in 80+ years age group.</w:t>
      </w:r>
    </w:p>
    <w:p>
      <w:pPr>
        <w:numPr>
          <w:ilvl w:val="0"/>
          <w:numId w:val="1006"/>
        </w:numPr>
      </w:pPr>
      <w:r>
        <w:t xml:space="preserve">YLLs: 1,551.6 [1,310.0, 1,669.7] in men and 441.6 [361.3, 483.3] in women in 80+ years age group.</w:t>
      </w:r>
    </w:p>
    <w:bookmarkStart w:id="68" w:name="fig-pyramid"/>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7" w:name="fig-pyramid-prevalence"/>
                <w:p>
                  <w:pPr>
                    <w:pStyle w:val="Compact"/>
                    <w:jc w:val="center"/>
                    <w:jc w:val="left"/>
                  </w:pPr>
                  <w:r>
                    <w:drawing>
                      <wp:inline>
                        <wp:extent cx="1975104" cy="1975104"/>
                        <wp:effectExtent b="0" l="0" r="0" t="0"/>
                        <wp:docPr descr="" title="" id="45" name="Picture"/>
                        <a:graphic>
                          <a:graphicData uri="http://schemas.openxmlformats.org/drawingml/2006/picture">
                            <pic:pic>
                              <pic:nvPicPr>
                                <pic:cNvPr descr="output/figures/Population%20pyramid%20-%202021/fig_C_United%20States%20of%20America_Bladder%20cancer_Prevalence_Rate.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47"/>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1" w:name="fig-pyramid-incidence"/>
                <w:p>
                  <w:pPr>
                    <w:pStyle w:val="Compact"/>
                    <w:jc w:val="center"/>
                    <w:jc w:val="left"/>
                  </w:pPr>
                  <w:r>
                    <w:drawing>
                      <wp:inline>
                        <wp:extent cx="1975104" cy="1975104"/>
                        <wp:effectExtent b="0" l="0" r="0" t="0"/>
                        <wp:docPr descr="" title="" id="49" name="Picture"/>
                        <a:graphic>
                          <a:graphicData uri="http://schemas.openxmlformats.org/drawingml/2006/picture">
                            <pic:pic>
                              <pic:nvPicPr>
                                <pic:cNvPr descr="output/figures/Population%20pyramid%20-%202021/fig_C_United%20States%20of%20America_Bladder%20cancer_Incidence_Rate.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5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5" w:name="fig-pyramid-dalys"/>
                <w:p>
                  <w:pPr>
                    <w:pStyle w:val="Compact"/>
                    <w:jc w:val="center"/>
                    <w:jc w:val="left"/>
                  </w:pPr>
                  <w:r>
                    <w:drawing>
                      <wp:inline>
                        <wp:extent cx="1975104" cy="1975104"/>
                        <wp:effectExtent b="0" l="0" r="0" t="0"/>
                        <wp:docPr descr="" title="" id="53" name="Picture"/>
                        <a:graphic>
                          <a:graphicData uri="http://schemas.openxmlformats.org/drawingml/2006/picture">
                            <pic:pic>
                              <pic:nvPicPr>
                                <pic:cNvPr descr="output/figures/Population%20pyramid%20-%202021/fig_C_United%20States%20of%20America_Bladder%20cancer_DALYs_Rate.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w:t>
                  </w:r>
                  <w:r>
                    <w:t xml:space="preserve"> </w:t>
                  </w:r>
                  <w:r>
                    <w:t xml:space="preserve">Year</w:t>
                  </w:r>
                </w:p>
                <w:bookmarkEnd w:id="5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59" w:name="fig-pyramid-ylds"/>
                <w:p>
                  <w:pPr>
                    <w:pStyle w:val="Compact"/>
                    <w:jc w:val="center"/>
                    <w:jc w:val="left"/>
                  </w:pPr>
                  <w:r>
                    <w:drawing>
                      <wp:inline>
                        <wp:extent cx="1975104" cy="1975104"/>
                        <wp:effectExtent b="0" l="0" r="0" t="0"/>
                        <wp:docPr descr="" title="" id="57" name="Picture"/>
                        <a:graphic>
                          <a:graphicData uri="http://schemas.openxmlformats.org/drawingml/2006/picture">
                            <pic:pic>
                              <pic:nvPicPr>
                                <pic:cNvPr descr="output/figures/Population%20pyramid%20-%202021/fig_C_United%20States%20of%20America_Bladder%20cancer_YLDs_Rate.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w:t>
                  </w:r>
                  <w:r>
                    <w:t xml:space="preserve"> </w:t>
                  </w:r>
                  <w:r>
                    <w:t xml:space="preserve">Disability</w:t>
                  </w:r>
                </w:p>
                <w:bookmarkEnd w:id="59"/>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3" w:name="fig-pyramid-ylls"/>
                <w:p>
                  <w:pPr>
                    <w:pStyle w:val="Compact"/>
                    <w:jc w:val="center"/>
                    <w:jc w:val="left"/>
                  </w:pPr>
                  <w:r>
                    <w:drawing>
                      <wp:inline>
                        <wp:extent cx="1975104" cy="1975104"/>
                        <wp:effectExtent b="0" l="0" r="0" t="0"/>
                        <wp:docPr descr="" title="" id="61" name="Picture"/>
                        <a:graphic>
                          <a:graphicData uri="http://schemas.openxmlformats.org/drawingml/2006/picture">
                            <pic:pic>
                              <pic:nvPicPr>
                                <pic:cNvPr descr="output/figures/Population%20pyramid%20-%202021/fig_C_United%20States%20of%20America_Bladder%20cancer_YLLs_Rate.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w:t>
                  </w:r>
                  <w:r>
                    <w:t xml:space="preserve"> </w:t>
                  </w:r>
                  <w:r>
                    <w:t xml:space="preserve">Lost</w:t>
                  </w:r>
                </w:p>
                <w:bookmarkEnd w:id="6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67" w:name="fig-pyramid-deaths"/>
                <w:p>
                  <w:pPr>
                    <w:pStyle w:val="Compact"/>
                    <w:jc w:val="center"/>
                    <w:jc w:val="left"/>
                  </w:pPr>
                  <w:r>
                    <w:drawing>
                      <wp:inline>
                        <wp:extent cx="1975104" cy="1975104"/>
                        <wp:effectExtent b="0" l="0" r="0" t="0"/>
                        <wp:docPr descr="" title="" id="65" name="Picture"/>
                        <a:graphic>
                          <a:graphicData uri="http://schemas.openxmlformats.org/drawingml/2006/picture">
                            <pic:pic>
                              <pic:nvPicPr>
                                <pic:cNvPr descr="output/figures/Population%20pyramid%20-%202021/fig_C_United%20States%20of%20America_Bladder%20cancer_Deaths_Rate.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1975104" cy="19751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67"/>
              </w:tc>
            </w:tr>
          </w:tbl>
          <w:p/>
        </w:tc>
      </w:tr>
    </w:tbl>
    <w:p>
      <w:pPr>
        <w:pStyle w:val="BodyText"/>
      </w:pPr>
      <w:pPr>
        <w:spacing w:before="200"/>
        <w:pStyle w:val="ImageCaption"/>
      </w:pPr>
      <w:r>
        <w:t xml:space="preserve">Figure 2: Population pyramids visualizing age-gender distribution of bladder cancer burden rates in United</w:t>
      </w:r>
      <w:r>
        <w:t xml:space="preserve"> </w:t>
      </w:r>
      <w:r>
        <w:t xml:space="preserve">States.</w:t>
      </w:r>
    </w:p>
    <w:bookmarkEnd w:id="68"/>
    <w:p>
      <w:pPr>
        <w:pStyle w:val="BodyText"/>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69">
        <w:r>
          <w:rPr>
            <w:rStyle w:val="Hyperlink"/>
          </w:rPr>
          <w:t xml:space="preserve">GitHub repository</w:t>
        </w:r>
      </w:hyperlink>
      <w:r>
        <w:t xml:space="preserve">.</w:t>
      </w:r>
      <w:r>
        <w:t xml:space="preserve"> </w:t>
      </w:r>
      <w:r>
        <w:t xml:space="preserve">Animated population pyramids illustrating temporal changes by year are also available for each</w:t>
      </w:r>
      <w:r>
        <w:t xml:space="preserve"> </w:t>
      </w:r>
      <w:r>
        <w:t xml:space="preserve">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70">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w:t>
      </w:r>
      <w:r>
        <w:t xml:space="preserve"> </w:t>
      </w:r>
      <w:r>
        <w:t xml:space="preserve">burden rates across age groups over time. Comparable age–period visualizations for each state are</w:t>
      </w:r>
      <w:r>
        <w:t xml:space="preserve"> </w:t>
      </w:r>
      <w:r>
        <w:t xml:space="preserve">available in</w:t>
      </w:r>
      <w:r>
        <w:t xml:space="preserve"> </w:t>
      </w:r>
      <w:hyperlink w:anchor="sup-apc">
        <w:r>
          <w:rPr>
            <w:rStyle w:val="Hyperlink"/>
          </w:rPr>
          <w:t xml:space="preserve">Supporting Files</w:t>
        </w:r>
      </w:hyperlink>
      <w:r>
        <w:t xml:space="preserve"> </w:t>
      </w:r>
      <w:r>
        <w:t xml:space="preserve">and on the study’s</w:t>
      </w:r>
      <w:r>
        <w:t xml:space="preserve"> </w:t>
      </w:r>
      <w:hyperlink r:id="rId71">
        <w:r>
          <w:rPr>
            <w:rStyle w:val="Hyperlink"/>
          </w:rPr>
          <w:t xml:space="preserve">GitHub page</w:t>
        </w:r>
      </w:hyperlink>
      <w:r>
        <w:t xml:space="preserve">.</w:t>
      </w:r>
    </w:p>
    <w:bookmarkStart w:id="96" w:name="fig-apc"/>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5" w:name="fig-apc-prevalence"/>
                <w:p>
                  <w:pPr>
                    <w:pStyle w:val="Compact"/>
                    <w:jc w:val="center"/>
                    <w:jc w:val="left"/>
                  </w:pPr>
                  <w:r>
                    <w:drawing>
                      <wp:inline>
                        <wp:extent cx="2971800" cy="1485113"/>
                        <wp:effectExtent b="0" l="0" r="0" t="0"/>
                        <wp:docPr descr="" title="" id="73" name="Picture"/>
                        <a:graphic>
                          <a:graphicData uri="http://schemas.openxmlformats.org/drawingml/2006/picture">
                            <pic:pic>
                              <pic:nvPicPr>
                                <pic:cNvPr descr="output/figures/APC%20plot%201/fig_F_United%20States%20of%20America_Prevalence_Bladder%20Cancer_Rate.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Prevalence</w:t>
                  </w:r>
                </w:p>
                <w:bookmarkEnd w:id="7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79" w:name="fig-apc-incidence"/>
                <w:p>
                  <w:pPr>
                    <w:pStyle w:val="Compact"/>
                    <w:jc w:val="center"/>
                    <w:jc w:val="left"/>
                  </w:pPr>
                  <w:r>
                    <w:drawing>
                      <wp:inline>
                        <wp:extent cx="2971800" cy="1485113"/>
                        <wp:effectExtent b="0" l="0" r="0" t="0"/>
                        <wp:docPr descr="" title="" id="77" name="Picture"/>
                        <a:graphic>
                          <a:graphicData uri="http://schemas.openxmlformats.org/drawingml/2006/picture">
                            <pic:pic>
                              <pic:nvPicPr>
                                <pic:cNvPr descr="output/figures/APC%20plot%201/fig_F_United%20States%20of%20America_Incidence_Bladder%20Cancer_Rate.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Incidence</w:t>
                  </w:r>
                </w:p>
                <w:bookmarkEnd w:id="7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3" w:name="fig-apc-dalys"/>
                <w:p>
                  <w:pPr>
                    <w:pStyle w:val="Compact"/>
                    <w:jc w:val="center"/>
                    <w:jc w:val="left"/>
                  </w:pPr>
                  <w:r>
                    <w:drawing>
                      <wp:inline>
                        <wp:extent cx="2971800" cy="1485113"/>
                        <wp:effectExtent b="0" l="0" r="0" t="0"/>
                        <wp:docPr descr="" title="" id="81" name="Picture"/>
                        <a:graphic>
                          <a:graphicData uri="http://schemas.openxmlformats.org/drawingml/2006/picture">
                            <pic:pic>
                              <pic:nvPicPr>
                                <pic:cNvPr descr="output/figures/APC%20plot%201/fig_F_United%20States%20of%20America_DALYs_Bladder%20Cancer_Rate.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Disability-Adjusted Life Year</w:t>
                  </w:r>
                </w:p>
                <w:bookmarkEnd w:id="83"/>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fig-apc-ylds"/>
                <w:p>
                  <w:pPr>
                    <w:pStyle w:val="Compact"/>
                    <w:jc w:val="center"/>
                    <w:jc w:val="left"/>
                  </w:pPr>
                  <w:r>
                    <w:drawing>
                      <wp:inline>
                        <wp:extent cx="2971800" cy="1485113"/>
                        <wp:effectExtent b="0" l="0" r="0" t="0"/>
                        <wp:docPr descr="" title="" id="85" name="Picture"/>
                        <a:graphic>
                          <a:graphicData uri="http://schemas.openxmlformats.org/drawingml/2006/picture">
                            <pic:pic>
                              <pic:nvPicPr>
                                <pic:cNvPr descr="output/figures/APC%20plot%201/fig_F_United%20States%20of%20America_YLDs_Bladder%20Cancer_Rate.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Years Lived with Disability</w:t>
                  </w:r>
                </w:p>
                <w:bookmarkEnd w:id="8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1" w:name="fig-apc-ylls"/>
                <w:p>
                  <w:pPr>
                    <w:pStyle w:val="Compact"/>
                    <w:jc w:val="center"/>
                    <w:jc w:val="left"/>
                  </w:pPr>
                  <w:r>
                    <w:drawing>
                      <wp:inline>
                        <wp:extent cx="2971800" cy="1485113"/>
                        <wp:effectExtent b="0" l="0" r="0" t="0"/>
                        <wp:docPr descr="" title="" id="89" name="Picture"/>
                        <a:graphic>
                          <a:graphicData uri="http://schemas.openxmlformats.org/drawingml/2006/picture">
                            <pic:pic>
                              <pic:nvPicPr>
                                <pic:cNvPr descr="output/figures/APC%20plot%201/fig_F_United%20States%20of%20America_YLLs_Bladder%20Cancer_Rate.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(e) Years of Life Lost</w:t>
                  </w:r>
                </w:p>
                <w:bookmarkEnd w:id="9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5" w:name="fig-apc-deaths"/>
                <w:p>
                  <w:pPr>
                    <w:pStyle w:val="Compact"/>
                    <w:jc w:val="center"/>
                    <w:jc w:val="left"/>
                  </w:pPr>
                  <w:r>
                    <w:drawing>
                      <wp:inline>
                        <wp:extent cx="2971800" cy="1485113"/>
                        <wp:effectExtent b="0" l="0" r="0" t="0"/>
                        <wp:docPr descr="" title="" id="93" name="Picture"/>
                        <a:graphic>
                          <a:graphicData uri="http://schemas.openxmlformats.org/drawingml/2006/picture">
                            <pic:pic>
                              <pic:nvPicPr>
                                <pic:cNvPr descr="output/figures/APC%20plot%201/fig_F_United%20States%20of%20America_Deaths_Bladder%20Cancer_Rate.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2971800" cy="148511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 Mortality</w:t>
                  </w:r>
                </w:p>
                <w:bookmarkEnd w:id="95"/>
              </w:tc>
            </w:tr>
          </w:tbl>
          <w:p/>
        </w:tc>
      </w:tr>
    </w:tbl>
    <w:p>
      <w:pPr>
        <w:pStyle w:val="BodyText"/>
      </w:pPr>
      <w:pPr>
        <w:spacing w:before="200"/>
        <w:pStyle w:val="ImageCaption"/>
      </w:pPr>
      <w:r>
        <w:t xml:space="preserve">Figure 3: Age-gender distribution of bladder cancer burden rates across decades in U.S.</w:t>
      </w:r>
    </w:p>
    <w:bookmarkEnd w:id="96"/>
    <w:bookmarkEnd w:id="97"/>
    <w:bookmarkStart w:id="103" w:name="bladder-cancer-burden-across-the-u.s."/>
    <w:p>
      <w:pPr>
        <w:pStyle w:val="Heading2"/>
      </w:pPr>
      <w:r>
        <w:t xml:space="preserve">4.2 Bladder Cancer Burden Across the U.S.</w:t>
      </w:r>
    </w:p>
    <w:p>
      <w:pPr>
        <w:pStyle w:val="FirstParagraph"/>
      </w:pPr>
      <w:r>
        <w:t xml:space="preserve">As shown in</w:t>
      </w:r>
      <w:r>
        <w:t xml:space="preserve"> </w:t>
      </w:r>
      <w:hyperlink w:anchor="tbl-percentchange">
        <w:r>
          <w:rPr>
            <w:rStyle w:val="Hyperlink"/>
          </w:rPr>
          <w:t xml:space="preserve">Table 1</w:t>
        </w:r>
      </w:hyperlink>
      <w:r>
        <w:t xml:space="preserve">, a limited number of states demonstrated meaningful reductions in BC</w:t>
      </w:r>
      <w:r>
        <w:t xml:space="preserve"> </w:t>
      </w:r>
      <w:r>
        <w:t xml:space="preserve">burden over the study period. For example, New York exhibited some of the largest declines, including</w:t>
      </w:r>
      <w:r>
        <w:t xml:space="preserve"> </w:t>
      </w:r>
      <w:r>
        <w:t xml:space="preserve">reductions in years of life lost (33.4% [48.8%, 16.7%] and 34.9% [50.7%, 18.4%] in men and</w:t>
      </w:r>
      <w:r>
        <w:t xml:space="preserve"> </w:t>
      </w:r>
      <w:r>
        <w:t xml:space="preserve">women, respectively), disability-adjusted life years (26.2% [43.1%, 8.1%] and</w:t>
      </w:r>
      <w:r>
        <w:t xml:space="preserve"> </w:t>
      </w:r>
      <w:r>
        <w:t xml:space="preserve">31.8% [49.4%, 13.0%] in men and women, respectively), and mortality among women</w:t>
      </w:r>
      <w:r>
        <w:t xml:space="preserve"> </w:t>
      </w:r>
      <w:r>
        <w:t xml:space="preserve">(31.5% [47.4%, 14.7%]). In contrast, most states experienced no statistically significant change</w:t>
      </w:r>
      <w:r>
        <w:t xml:space="preserve"> </w:t>
      </w:r>
      <w:r>
        <w:t xml:space="preserve">across key burden measures. New Mexico was the only state showing a significant increase, reporting</w:t>
      </w:r>
      <w:r>
        <w:t xml:space="preserve"> </w:t>
      </w:r>
      <w:r>
        <w:t xml:space="preserve">an elevated prevalence of BC by 30.2% [3.2%, 62.6%] among men.</w:t>
      </w:r>
    </w:p>
    <w:p>
      <w:pPr>
        <w:pStyle w:val="BodyText"/>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w:t>
      </w:r>
      <w:r>
        <w:t xml:space="preserve"> </w:t>
      </w:r>
      <w:r>
        <w:t xml:space="preserve">disability-adjusted life years, years of life lost, and years lived with disability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98">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geofacet"/>
          <w:p>
            <w:pPr>
              <w:pStyle w:val="Compact"/>
              <w:jc w:val="center"/>
            </w:pPr>
            <w:r>
              <w:drawing>
                <wp:inline>
                  <wp:extent cx="6400800" cy="3342493"/>
                  <wp:effectExtent b="0" l="0" r="0" t="0"/>
                  <wp:docPr descr="" title="" id="100" name="Picture"/>
                  <a:graphic>
                    <a:graphicData uri="http://schemas.openxmlformats.org/drawingml/2006/picture">
                      <pic:pic>
                        <pic:nvPicPr>
                          <pic:cNvPr descr="output/figures/Geofacet%20plot/fig_A_Incidence_Bladder%20cancer_Rate.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102"/>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bookmarkEnd w:id="103"/>
    <w:bookmarkEnd w:id="104"/>
    <w:bookmarkStart w:id="107" w:name="discussion"/>
    <w:p>
      <w:pPr>
        <w:pStyle w:val="Heading1"/>
      </w:pPr>
      <w:r>
        <w:t xml:space="preserve">5. Discussion</w:t>
      </w:r>
    </w:p>
    <w:p>
      <w:pPr>
        <w:pStyle w:val="FirstParagraph"/>
      </w:pPr>
      <w:r>
        <w:t xml:space="preserve">This study used GBD 2021 data to characterize long-term trends in bladder cancer incidence, mortality, years of life lost, years lived with disability, and disability-adjusted life years in the U.S. from 1980 to 2021. At the national level, age-standardized incidence rates gradually declined beginning in the late 2010s, accompanied by a more modest decrease in age-standardized mortality rates. These improvements likely reflect advances in early detection,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r:id="rId105">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(56)</w:t>
      </w:r>
      <w:r>
        <w:t xml:space="preserve">, the U.S. continues to report comparatively high age-standardized incidence rates of bladder cancer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(57–59)</w:t>
      </w:r>
      <w:r>
        <w:t xml:space="preserve">. At the same time, this discrepancy highlights a potential imbalance in healthcare priorities, with disproportionate emphasis on diagnosis and treatment relative to prevention and risk reduction</w:t>
      </w:r>
      <w:r>
        <w:t xml:space="preserve"> </w:t>
      </w:r>
      <w:r>
        <w:t xml:space="preserve">(60)</w:t>
      </w:r>
      <w:r>
        <w:t xml:space="preserve">. The persistently high incidence is particularly concerning given evidence that up to 80% of bladder cancer cases diagnosed over the past two decades may be attributable to preventable exposures</w:t>
      </w:r>
      <w:r>
        <w:t xml:space="preserve"> </w:t>
      </w:r>
      <w:r>
        <w:t xml:space="preserve">(61)</w:t>
      </w:r>
      <w:r>
        <w:t xml:space="preserve">, whereas inherited genetic factors account for only a small proportion of cases in Western populations</w:t>
      </w:r>
      <w:r>
        <w:t xml:space="preserve"> </w:t>
      </w:r>
      <w:r>
        <w:t xml:space="preserve">(62)</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(63)</w:t>
      </w:r>
      <w:r>
        <w:t xml:space="preserve">.</w:t>
      </w:r>
    </w:p>
    <w:p>
      <w:pPr>
        <w:pStyle w:val="BodyText"/>
      </w:pPr>
      <w:r>
        <w:t xml:space="preserve">Age-specific analyses revealed a consistent increase in bladder cancer incidence, mortality, and disability-adjusted life years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oldest age groups in several populous states, including California, Texas, and Connecticut</w:t>
      </w:r>
      <w:r>
        <w:t xml:space="preserve"> </w:t>
      </w:r>
      <w:hyperlink r:id="rId106">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(63)</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(64)</w:t>
      </w:r>
      <w:r>
        <w:t xml:space="preserve">. These findings indicate that, despite overall progress, the burden of bladder cancer among older adults remains a critical public health challenge.</w:t>
      </w:r>
    </w:p>
    <w:p>
      <w:pPr>
        <w:pStyle w:val="BodyText"/>
      </w:pPr>
      <w:r>
        <w:t xml:space="preserve">Consistent with prior studies, our analysis confirms that men experience bladder cancer burden rates approximately four times higher than women</w:t>
      </w:r>
      <w:r>
        <w:t xml:space="preserve"> </w:t>
      </w:r>
      <w:r>
        <w:t xml:space="preserve">(21)</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(22,65,66)</w:t>
      </w:r>
      <w:r>
        <w:t xml:space="preserve">. One contributing factor may be delayed evaluation of hematuria in women, as symptoms are more frequently attributed to urinary tract infections or gynecologic conditions</w:t>
      </w:r>
      <w:r>
        <w:t xml:space="preserve"> </w:t>
      </w:r>
      <w:r>
        <w:t xml:space="preserve">(65,67)</w:t>
      </w:r>
      <w:r>
        <w:t xml:space="preserve">. Addressing these disparities will require improved adherence to updated clinical guidelines, including the 2025 American Urological Association recommendations</w:t>
      </w:r>
      <w:r>
        <w:t xml:space="preserve"> </w:t>
      </w:r>
      <w:r>
        <w:t xml:space="preserve">(68)</w:t>
      </w:r>
      <w:r>
        <w:t xml:space="preserve">, alongside the incorporation of validated biomarkers for risk stratification and the adoption of sex-aware diagnostic pathways in primary care settings.</w:t>
      </w:r>
    </w:p>
    <w:p>
      <w:pPr>
        <w:pStyle w:val="BodyText"/>
      </w:pPr>
      <w:r>
        <w:t xml:space="preserve">Beyond healthcare delivery factors, emerging evidence points to biological mechanisms underlying sex-based disparities in bladder cancer. Differences in immune surveillance, hormonal milieu, hormone receptor signaling, and genetic or epigenetic alterations have been implicated</w:t>
      </w:r>
      <w:r>
        <w:t xml:space="preserve"> </w:t>
      </w:r>
      <w:r>
        <w:t xml:space="preserve">(69)</w:t>
      </w:r>
      <w:r>
        <w:t xml:space="preserve">. For example, androgen signaling may promote oncogenic pathways in men, whereas sex-specific immune responses may influence tumor behavior and progression in women</w:t>
      </w:r>
      <w:r>
        <w:t xml:space="preserve"> </w:t>
      </w:r>
      <w:r>
        <w:t xml:space="preserve">(70,71)</w:t>
      </w:r>
      <w:r>
        <w:t xml:space="preserve">. Importantly, these differences persist even after adjustment for known exposures such as smoking and occupational hazards</w:t>
      </w:r>
      <w:r>
        <w:t xml:space="preserve"> </w:t>
      </w:r>
      <w:r>
        <w:t xml:space="preserve">(8)</w:t>
      </w:r>
      <w:r>
        <w:t xml:space="preserve">. Ongoing research into sex hormones, immune checkpoints, and tumor genomics may help clarify why men are disproportionately affected by bladder cancer and why women experience worse outcomes once diagnosed.</w:t>
      </w:r>
    </w:p>
    <w:p>
      <w:pPr>
        <w:pStyle w:val="BodyText"/>
      </w:pPr>
      <w:r>
        <w:t xml:space="preserve">Geographic disparities observed in this study align with previous reports demonstrating the highest bladder cancer incidence among men and in Northeastern states, including Maine, New Hampshire, and Vermont</w:t>
      </w:r>
      <w:r>
        <w:t xml:space="preserve"> </w:t>
      </w:r>
      <w:r>
        <w:t xml:space="preserve">(16)</w:t>
      </w:r>
      <w:r>
        <w:t xml:space="preserve">. These patterns cannot be explained by smoking alone</w:t>
      </w:r>
      <w:r>
        <w:t xml:space="preserve"> </w:t>
      </w:r>
      <w:r>
        <w:t xml:space="preserve">(12)</w:t>
      </w:r>
      <w:r>
        <w:t xml:space="preserve">. Environmental carcinogens, particularly arsenic contamination of drinking water from private domestic wells, have been implicated in elevated incidence in New England</w:t>
      </w:r>
      <w:r>
        <w:t xml:space="preserve"> </w:t>
      </w:r>
      <w:r>
        <w:t xml:space="preserve">(12,13)</w:t>
      </w:r>
      <w:r>
        <w:t xml:space="preserve">.</w:t>
      </w:r>
      <w:r>
        <w:t xml:space="preserve"> </w:t>
      </w:r>
      <w:r>
        <w:t xml:space="preserve">Recent declines in incidence in some Northeastern states may reflect improvements in water treatment and broader public health interventions</w:t>
      </w:r>
      <w:r>
        <w:t xml:space="preserve"> </w:t>
      </w:r>
      <w:r>
        <w:t xml:space="preserve">(72)</w:t>
      </w:r>
      <w:r>
        <w:t xml:space="preserve">. For example, professionally installed and maintained household arsenic treatment systems in Maine and New Jersey have achieved substantial reductions in exposure and associated cancer risk</w:t>
      </w:r>
      <w:r>
        <w:t xml:space="preserve"> </w:t>
      </w:r>
      <w:r>
        <w:t xml:space="preserve">(73)</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(74)</w:t>
      </w:r>
      <w:r>
        <w:t xml:space="preserve">, represent important steps toward long-term risk reduction, although the long latency of bladder cancer means that benefits may take decades to fully emerge.</w:t>
      </w:r>
      <w:r>
        <w:t xml:space="preserve"> </w:t>
      </w:r>
      <w:r>
        <w:t xml:space="preserve">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bladder cancer mortality despite more moderate incidence. Nevada and Southern states such as West Virginia, Kentucky, and Alabama demonstrated some of the highest age-standardized mortality rates, consistent with prior studies</w:t>
      </w:r>
      <w:r>
        <w:t xml:space="preserve"> </w:t>
      </w:r>
      <w:r>
        <w:t xml:space="preserve">(19,75)</w:t>
      </w:r>
      <w:r>
        <w:t xml:space="preserve">. Elevated mortality in these regions may reflect higher smoking-attributable cancer burdens</w:t>
      </w:r>
      <w:r>
        <w:t xml:space="preserve"> </w:t>
      </w:r>
      <w:r>
        <w:t xml:space="preserve">(76)</w:t>
      </w:r>
      <w:r>
        <w:t xml:space="preserve">, greater rurality</w:t>
      </w:r>
      <w:r>
        <w:t xml:space="preserve"> </w:t>
      </w:r>
      <w:r>
        <w:t xml:space="preserve">(77,78)</w:t>
      </w:r>
      <w:r>
        <w:t xml:space="preserve">, and reduced access to timely diagnostic and treatment services</w:t>
      </w:r>
      <w:r>
        <w:t xml:space="preserve"> </w:t>
      </w:r>
      <w:r>
        <w:t xml:space="preserve">(78,79)</w:t>
      </w:r>
      <w:r>
        <w:t xml:space="preserve">. Lower insurance coverage and longer travel distances to specialized care centers may further contribute to delayed diagnosis and worse outcomes</w:t>
      </w:r>
      <w:r>
        <w:t xml:space="preserve"> </w:t>
      </w:r>
      <w:r>
        <w:t xml:space="preserve">(80)</w:t>
      </w:r>
      <w:r>
        <w:t xml:space="preserve">. By contrast, the Northeast’s relatively low uninsured rates</w:t>
      </w:r>
      <w:r>
        <w:t xml:space="preserve"> </w:t>
      </w:r>
      <w:r>
        <w:t xml:space="preserve">(81)</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bladder cancer incidence and mortality. Several factors likely contribute to this favorable profile, including a predominantly Asian and Pacific Islander population, which has historically lower bladder cancer risk compared with non-Hispanic White populations</w:t>
      </w:r>
      <w:r>
        <w:t xml:space="preserve"> </w:t>
      </w:r>
      <w:r>
        <w:t xml:space="preserve">(82)</w:t>
      </w:r>
      <w:r>
        <w:t xml:space="preserve">, low adult smoking prevalence</w:t>
      </w:r>
      <w:r>
        <w:t xml:space="preserve"> </w:t>
      </w:r>
      <w:r>
        <w:t xml:space="preserve">(83)</w:t>
      </w:r>
      <w:r>
        <w:t xml:space="preserve">, and strong tobacco control policies</w:t>
      </w:r>
      <w:r>
        <w:t xml:space="preserve"> </w:t>
      </w:r>
      <w:r>
        <w:t xml:space="preserve">(84)</w:t>
      </w:r>
      <w:r>
        <w:t xml:space="preserve">. In addition, industrial and environmental carcinogen exposures are generally less prevalent, and access to healthcare and insurance coverage is relatively high</w:t>
      </w:r>
      <w:r>
        <w:t xml:space="preserve"> </w:t>
      </w:r>
      <w:r>
        <w:t xml:space="preserve">(85)</w:t>
      </w:r>
      <w:r>
        <w:t xml:space="preserve">. Together, these demographic, behavioral, and structural factors likely explain Hawaii’s consistently low bladder cancer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bladder cancer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w:t>
      </w:r>
      <w:r>
        <w:t xml:space="preserve"> </w:t>
      </w:r>
      <w:r>
        <w:t xml:space="preserve">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107"/>
    <w:bookmarkStart w:id="108" w:name="conclusions"/>
    <w:p>
      <w:pPr>
        <w:pStyle w:val="Heading1"/>
      </w:pPr>
      <w:r>
        <w:t xml:space="preserve">6. Conclusions</w:t>
      </w:r>
    </w:p>
    <w:p>
      <w:pPr>
        <w:pStyle w:val="FirstParagraph"/>
      </w:pPr>
      <w:r>
        <w:t xml:space="preserve">Bladder cancer remains a major public health challenge in the U.S., characterized by pronounced</w:t>
      </w:r>
      <w:r>
        <w:t xml:space="preserve"> </w:t>
      </w:r>
      <w:r>
        <w:t xml:space="preserve">geographic, demographic, and sex-based disparities. Although national trends indicate modest</w:t>
      </w:r>
      <w:r>
        <w:t xml:space="preserve"> </w:t>
      </w:r>
      <w:r>
        <w:t xml:space="preserve">improvements in several burden measures, substantial heterogeneity persists across states, with</w:t>
      </w:r>
      <w:r>
        <w:t xml:space="preserve"> </w:t>
      </w:r>
      <w:r>
        <w:t xml:space="preserve">disproportionate burden in regions affected by environmental exposures, population aging, and</w:t>
      </w:r>
      <w:r>
        <w:t xml:space="preserve"> </w:t>
      </w:r>
      <w:r>
        <w:t xml:space="preserve">inequities in healthcare access. These findings underscore the need for region-specific prevention</w:t>
      </w:r>
      <w:r>
        <w:t xml:space="preserve"> </w:t>
      </w:r>
      <w:r>
        <w:t xml:space="preserve">strategies, improved diagnostic equity, and strengthened surveillance systems. Prioritizing</w:t>
      </w:r>
      <w:r>
        <w:t xml:space="preserve"> </w:t>
      </w:r>
      <w:r>
        <w:t xml:space="preserve">modifiable risk factor reduction alongside expanded access to timely detection and high-quality</w:t>
      </w:r>
      <w:r>
        <w:t xml:space="preserve"> </w:t>
      </w:r>
      <w:r>
        <w:t xml:space="preserve">care will be essential to reducing disparities and mitigating the long-term burden of this costly</w:t>
      </w:r>
      <w:r>
        <w:t xml:space="preserve"> </w:t>
      </w:r>
      <w:r>
        <w:t xml:space="preserve">and largely preventable disease.</w:t>
      </w:r>
      <w:r>
        <w:t xml:space="preserve"> </w:t>
      </w:r>
      <w:r>
        <w:t xml:space="preserve">Future research should integrate health economic analyses to evaluate the cost-effectiveness of reallocating healthcare resources toward primary prevention and early detection, relative to the current emphasis on late-stage treatment. Such work could provide critical evidence to inform policy decisions aimed at optimizing healthcare spending while reducing the long-term burden of bladder cancer in the U.S.</w:t>
      </w:r>
    </w:p>
    <w:bookmarkEnd w:id="108"/>
    <w:bookmarkStart w:id="111"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98">
        <w:r>
          <w:rPr>
            <w:rStyle w:val="Hyperlink"/>
          </w:rPr>
          <w:t xml:space="preserve">GitHub repository</w:t>
        </w:r>
      </w:hyperlink>
      <w:r>
        <w:t xml:space="preserve">.</w:t>
      </w:r>
      <w:hyperlink r:id="rId109"/>
    </w:p>
    <w:p>
      <w:pPr>
        <w:numPr>
          <w:ilvl w:val="0"/>
          <w:numId w:val="1007"/>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69">
        <w:r>
          <w:rPr>
            <w:rStyle w:val="Hyperlink"/>
          </w:rPr>
          <w:t xml:space="preserve">GitHub repository</w:t>
        </w:r>
      </w:hyperlink>
      <w:r>
        <w:t xml:space="preserve">.</w:t>
      </w:r>
      <w:hyperlink r:id="rId109"/>
    </w:p>
    <w:p>
      <w:pPr>
        <w:numPr>
          <w:ilvl w:val="0"/>
          <w:numId w:val="1007"/>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0">
        <w:r>
          <w:rPr>
            <w:rStyle w:val="Hyperlink"/>
          </w:rPr>
          <w:t xml:space="preserve">GitHub repository</w:t>
        </w:r>
      </w:hyperlink>
      <w:r>
        <w:t xml:space="preserve">.</w:t>
      </w:r>
      <w:hyperlink r:id="rId109"/>
    </w:p>
    <w:p>
      <w:pPr>
        <w:numPr>
          <w:ilvl w:val="0"/>
          <w:numId w:val="1007"/>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110">
        <w:r>
          <w:rPr>
            <w:rStyle w:val="Hyperlink"/>
          </w:rPr>
          <w:t xml:space="preserve">GitHub repository</w:t>
        </w:r>
      </w:hyperlink>
      <w:r>
        <w:t xml:space="preserve">.</w:t>
      </w:r>
      <w:hyperlink r:id="rId109"/>
    </w:p>
    <w:p>
      <w:pPr>
        <w:numPr>
          <w:ilvl w:val="0"/>
          <w:numId w:val="1007"/>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1">
        <w:r>
          <w:rPr>
            <w:rStyle w:val="Hyperlink"/>
          </w:rPr>
          <w:t xml:space="preserve">GitHub repository</w:t>
        </w:r>
      </w:hyperlink>
      <w:r>
        <w:t xml:space="preserve">.</w:t>
      </w:r>
      <w:hyperlink r:id="rId109"/>
    </w:p>
    <w:bookmarkEnd w:id="111"/>
    <w:bookmarkStart w:id="119" w:name="statements"/>
    <w:p>
      <w:pPr>
        <w:pStyle w:val="Heading1"/>
      </w:pPr>
      <w:r>
        <w:t xml:space="preserve">7. Statements</w:t>
      </w:r>
    </w:p>
    <w:bookmarkStart w:id="112"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Niloofar Dehdari Ebrahimi, Ehsan Taherifard,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Wassim Kassouf;</w:t>
      </w:r>
      <w:r>
        <w:t xml:space="preserve"> </w:t>
      </w:r>
      <w:r>
        <w:rPr>
          <w:b/>
          <w:bCs/>
        </w:rPr>
        <w:t xml:space="preserve">Writing – original draft:</w:t>
      </w:r>
      <w:r>
        <w:t xml:space="preserve"> </w:t>
      </w:r>
      <w:r>
        <w:t xml:space="preserve">Alireza Sadeghi, Fatemeh Nouri, Niloofar Dehdari Ebrahimi;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112"/>
    <w:bookmarkStart w:id="113" w:name="acknowledgments"/>
    <w:p>
      <w:pPr>
        <w:pStyle w:val="Heading2"/>
      </w:pPr>
      <w:r>
        <w:t xml:space="preserve">7.2 Acknowledgments</w:t>
      </w:r>
    </w:p>
    <w:p>
      <w:pPr>
        <w:pStyle w:val="FirstParagraph"/>
      </w:pPr>
      <w:r>
        <w:t xml:space="preserve">The authors declare no conflicts of interest.</w:t>
      </w:r>
    </w:p>
    <w:bookmarkEnd w:id="113"/>
    <w:bookmarkStart w:id="114" w:name="transparency-statement"/>
    <w:p>
      <w:pPr>
        <w:pStyle w:val="Heading2"/>
      </w:pPr>
      <w:r>
        <w:t xml:space="preserve">7.3 Transparency Statement</w:t>
      </w:r>
    </w:p>
    <w:p>
      <w:pPr>
        <w:pStyle w:val="FirstParagraph"/>
      </w:pPr>
      <w:r>
        <w:t xml:space="preserve">The lead author, Alireza Sadeghi, affirms that this manuscript is an honest, accurate, and</w:t>
      </w:r>
      <w:r>
        <w:t xml:space="preserve"> </w:t>
      </w:r>
      <w:r>
        <w:t xml:space="preserve">transparent account of the study being reported; that no important aspects of the study have been</w:t>
      </w:r>
      <w:r>
        <w:t xml:space="preserve"> </w:t>
      </w:r>
      <w:r>
        <w:t xml:space="preserve">omitted; and that any discrepancies from the study as planned (and, if relevant, registered) have</w:t>
      </w:r>
      <w:r>
        <w:t xml:space="preserve"> </w:t>
      </w:r>
      <w:r>
        <w:t xml:space="preserve">been explained.</w:t>
      </w:r>
    </w:p>
    <w:bookmarkEnd w:id="114"/>
    <w:bookmarkStart w:id="117" w:name="data-availability-statement"/>
    <w:p>
      <w:pPr>
        <w:pStyle w:val="Heading2"/>
      </w:pPr>
      <w:r>
        <w:t xml:space="preserve">7.4 Data Availability Statement</w:t>
      </w:r>
    </w:p>
    <w:p>
      <w:pPr>
        <w:pStyle w:val="FirstParagraph"/>
      </w:pPr>
      <w:r>
        <w:t xml:space="preserve">All data used in this study are publicly available from the Global Burden of Disease (GBD) Study 2021 through the</w:t>
      </w:r>
      <w:r>
        <w:t xml:space="preserve"> </w:t>
      </w:r>
      <w:hyperlink r:id="rId115">
        <w:r>
          <w:rPr>
            <w:rStyle w:val="Hyperlink"/>
          </w:rPr>
          <w:t xml:space="preserve">GBD Results Tool</w:t>
        </w:r>
      </w:hyperlink>
      <w:r>
        <w:t xml:space="preserve">. The complete analytic workflow, including cleaned datasets and all code required to reproduce the analyses, figures, and tables presented in this manuscript, is available in the study’s</w:t>
      </w:r>
      <w:r>
        <w:t xml:space="preserve"> </w:t>
      </w:r>
      <w:hyperlink r:id="rId116">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117"/>
    <w:bookmarkStart w:id="118" w:name="conflicts-of-interest"/>
    <w:p>
      <w:pPr>
        <w:pStyle w:val="Heading2"/>
      </w:pPr>
      <w:r>
        <w:t xml:space="preserve">7.5 Conflicts of Interest</w:t>
      </w:r>
    </w:p>
    <w:p>
      <w:pPr>
        <w:pStyle w:val="FirstParagraph"/>
      </w:pPr>
      <w:r>
        <w:t xml:space="preserve">The authors declare no conflicts of interest.</w:t>
      </w:r>
    </w:p>
    <w:bookmarkEnd w:id="118"/>
    <w:bookmarkEnd w:id="119"/>
    <w:bookmarkStart w:id="283" w:name="references"/>
    <w:p>
      <w:pPr>
        <w:pStyle w:val="Heading1"/>
      </w:pPr>
      <w:r>
        <w:t xml:space="preserve">References</w:t>
      </w:r>
    </w:p>
    <w:bookmarkStart w:id="282" w:name="refs"/>
    <w:bookmarkStart w:id="121"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20">
        <w:r>
          <w:rPr>
            <w:rStyle w:val="Hyperlink"/>
          </w:rPr>
          <w:t xml:space="preserve">https://seer.cancer.gov/statfacts/html/urinb.html</w:t>
        </w:r>
      </w:hyperlink>
    </w:p>
    <w:bookmarkEnd w:id="121"/>
    <w:bookmarkStart w:id="123" w:name="ref-RN2"/>
    <w:p>
      <w:pPr>
        <w:pStyle w:val="Bibliography"/>
      </w:pPr>
      <w:r>
        <w:t xml:space="preserve">2.</w:t>
      </w:r>
      <w:r>
        <w:t xml:space="preserve"> </w:t>
      </w:r>
      <w:r>
        <w:t xml:space="preserve">	</w:t>
      </w:r>
      <w:r>
        <w:t xml:space="preserve">Siegel RL, Miller KD, Jemal A.</w:t>
      </w:r>
      <w:r>
        <w:t xml:space="preserve"> </w:t>
      </w:r>
      <w:hyperlink r:id="rId122">
        <w:r>
          <w:rPr>
            <w:rStyle w:val="Hyperlink"/>
          </w:rPr>
          <w:t xml:space="preserve">Cancer statistics, 2020</w:t>
        </w:r>
      </w:hyperlink>
      <w:r>
        <w:t xml:space="preserve">. CA Cancer J Clin. 2020;70(1):7–30.</w:t>
      </w:r>
      <w:r>
        <w:t xml:space="preserve"> </w:t>
      </w:r>
    </w:p>
    <w:bookmarkEnd w:id="123"/>
    <w:bookmarkStart w:id="125"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24">
        <w:r>
          <w:rPr>
            <w:rStyle w:val="Hyperlink"/>
          </w:rPr>
          <w:t xml:space="preserve">https://doi.org/10.1038/s41598-025-92033-5</w:t>
        </w:r>
      </w:hyperlink>
    </w:p>
    <w:bookmarkEnd w:id="125"/>
    <w:bookmarkStart w:id="127" w:name="ref-RN4"/>
    <w:p>
      <w:pPr>
        <w:pStyle w:val="Bibliography"/>
      </w:pPr>
      <w:r>
        <w:t xml:space="preserve">4.</w:t>
      </w:r>
      <w:r>
        <w:t xml:space="preserve"> </w:t>
      </w:r>
      <w:r>
        <w:t xml:space="preserve">	</w:t>
      </w:r>
      <w:r>
        <w:t xml:space="preserve">Mossanen M, Gore JL.</w:t>
      </w:r>
      <w:r>
        <w:t xml:space="preserve"> </w:t>
      </w:r>
      <w:hyperlink r:id="rId126">
        <w:r>
          <w:rPr>
            <w:rStyle w:val="Hyperlink"/>
          </w:rPr>
          <w:t xml:space="preserve">The burden of bladder cancer care: Direct and indirect costs</w:t>
        </w:r>
      </w:hyperlink>
      <w:r>
        <w:t xml:space="preserve">. Curr Opin Urol. 2014;24(5):487–91.</w:t>
      </w:r>
      <w:r>
        <w:t xml:space="preserve"> </w:t>
      </w:r>
    </w:p>
    <w:bookmarkEnd w:id="127"/>
    <w:bookmarkStart w:id="129" w:name="ref-RN5"/>
    <w:p>
      <w:pPr>
        <w:pStyle w:val="Bibliography"/>
      </w:pPr>
      <w:r>
        <w:t xml:space="preserve">5.</w:t>
      </w:r>
      <w:r>
        <w:t xml:space="preserve"> </w:t>
      </w:r>
      <w:r>
        <w:t xml:space="preserve">	</w:t>
      </w:r>
      <w:r>
        <w:t xml:space="preserve">Svatek RS, Hollenbeck BK, Holmäng S, Lee R, Kim SP, Stenzl A, et al.</w:t>
      </w:r>
      <w:r>
        <w:t xml:space="preserve"> </w:t>
      </w:r>
      <w:hyperlink r:id="rId128">
        <w:r>
          <w:rPr>
            <w:rStyle w:val="Hyperlink"/>
          </w:rPr>
          <w:t xml:space="preserve">The economics of bladder cancer: Costs and considerations of caring for this disease</w:t>
        </w:r>
      </w:hyperlink>
      <w:r>
        <w:t xml:space="preserve">. Eur Urol. 2014;66(2):253–62.</w:t>
      </w:r>
      <w:r>
        <w:t xml:space="preserve"> </w:t>
      </w:r>
    </w:p>
    <w:bookmarkEnd w:id="129"/>
    <w:bookmarkStart w:id="131"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30">
        <w:r>
          <w:rPr>
            <w:rStyle w:val="Hyperlink"/>
          </w:rPr>
          <w:t xml:space="preserve">https://doi.org/10.1007/s40273-023-01273-8</w:t>
        </w:r>
      </w:hyperlink>
    </w:p>
    <w:bookmarkEnd w:id="131"/>
    <w:bookmarkStart w:id="133"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32">
        <w:r>
          <w:rPr>
            <w:rStyle w:val="Hyperlink"/>
          </w:rPr>
          <w:t xml:space="preserve">https://www.sciencedirect.com/science/article/pii/S1078143924004204</w:t>
        </w:r>
      </w:hyperlink>
    </w:p>
    <w:bookmarkEnd w:id="133"/>
    <w:bookmarkStart w:id="135" w:name="ref-RN8"/>
    <w:p>
      <w:pPr>
        <w:pStyle w:val="Bibliography"/>
      </w:pPr>
      <w:r>
        <w:t xml:space="preserve">8.</w:t>
      </w:r>
      <w:r>
        <w:t xml:space="preserve"> </w:t>
      </w:r>
      <w:r>
        <w:t xml:space="preserve">	</w:t>
      </w:r>
      <w:r>
        <w:t xml:space="preserve">Freedman ND, Silverman DT, Hollenbeck AR, Schatzkin A, Abnet CC.</w:t>
      </w:r>
      <w:r>
        <w:t xml:space="preserve"> </w:t>
      </w:r>
      <w:hyperlink r:id="rId134">
        <w:r>
          <w:rPr>
            <w:rStyle w:val="Hyperlink"/>
          </w:rPr>
          <w:t xml:space="preserve">Association between smoking and risk of bladder cancer among men and women</w:t>
        </w:r>
      </w:hyperlink>
      <w:r>
        <w:t xml:space="preserve">. Jama. 2011;306(7):737–45.</w:t>
      </w:r>
      <w:r>
        <w:t xml:space="preserve"> </w:t>
      </w:r>
    </w:p>
    <w:bookmarkEnd w:id="135"/>
    <w:bookmarkStart w:id="137" w:name="ref-RN9"/>
    <w:p>
      <w:pPr>
        <w:pStyle w:val="Bibliography"/>
      </w:pPr>
      <w:r>
        <w:t xml:space="preserve">9.</w:t>
      </w:r>
      <w:r>
        <w:t xml:space="preserve"> </w:t>
      </w:r>
      <w:r>
        <w:t xml:space="preserve">	</w:t>
      </w:r>
      <w:r>
        <w:t xml:space="preserve">Jubber I, Ong S, Bukavina L, Black PC, Compérat E, Kamat AM, et al.</w:t>
      </w:r>
      <w:r>
        <w:t xml:space="preserve"> </w:t>
      </w:r>
      <w:hyperlink r:id="rId136">
        <w:r>
          <w:rPr>
            <w:rStyle w:val="Hyperlink"/>
          </w:rPr>
          <w:t xml:space="preserve">Epidemiology of bladder cancer in 2023: A systematic review of risk factors</w:t>
        </w:r>
      </w:hyperlink>
      <w:r>
        <w:t xml:space="preserve">. Eur Urol. 2023;84(2):176–90.</w:t>
      </w:r>
      <w:r>
        <w:t xml:space="preserve"> </w:t>
      </w:r>
    </w:p>
    <w:bookmarkEnd w:id="137"/>
    <w:bookmarkStart w:id="138" w:name="ref-RN10"/>
    <w:p>
      <w:pPr>
        <w:pStyle w:val="Bibliography"/>
      </w:pPr>
      <w:r>
        <w:t xml:space="preserve">10.</w:t>
      </w:r>
      <w:r>
        <w:t xml:space="preserve"> </w:t>
      </w:r>
      <w:r>
        <w:t xml:space="preserve">	</w:t>
      </w:r>
      <w:r>
        <w:t xml:space="preserve">United States Public Health Service Office of the Surgeon G, National Center for Chronic Disease P, Health Promotion Office on S, Health. Publications and reports of the surgeon general. In: Smoking cessation: A report of the surgeon general. Washington (DC): US Department of Health; Human Services; 2020.</w:t>
      </w:r>
      <w:r>
        <w:t xml:space="preserve"> </w:t>
      </w:r>
    </w:p>
    <w:bookmarkEnd w:id="138"/>
    <w:bookmarkStart w:id="140" w:name="ref-RN11"/>
    <w:p>
      <w:pPr>
        <w:pStyle w:val="Bibliography"/>
      </w:pPr>
      <w:r>
        <w:t xml:space="preserve">11.</w:t>
      </w:r>
      <w:r>
        <w:t xml:space="preserve"> </w:t>
      </w:r>
      <w:r>
        <w:t xml:space="preserve">	</w:t>
      </w:r>
      <w:r>
        <w:t xml:space="preserve">Andrade DP de, Marques CM, Andrade DCR de, Lenzi L, Oliveira CS, Figueiredo BC de. Trends in tobacco smoking and bladder and lung-bronchial cancer rates among non-hispanic white americans (2000–2016). Archives of Public Health [Internet]. 2025;83(1):113. Available from:</w:t>
      </w:r>
      <w:r>
        <w:t xml:space="preserve"> </w:t>
      </w:r>
      <w:hyperlink r:id="rId139">
        <w:r>
          <w:rPr>
            <w:rStyle w:val="Hyperlink"/>
          </w:rPr>
          <w:t xml:space="preserve">https://doi.org/10.1186/s13690-025-01585-5</w:t>
        </w:r>
      </w:hyperlink>
    </w:p>
    <w:bookmarkEnd w:id="140"/>
    <w:bookmarkStart w:id="142" w:name="ref-RN12"/>
    <w:p>
      <w:pPr>
        <w:pStyle w:val="Bibliography"/>
      </w:pPr>
      <w:r>
        <w:t xml:space="preserve">12.</w:t>
      </w:r>
      <w:r>
        <w:t xml:space="preserve"> </w:t>
      </w:r>
      <w:r>
        <w:t xml:space="preserve">	</w:t>
      </w:r>
      <w:r>
        <w:t xml:space="preserve">Baris D, Waddell R, Beane Freeman LE, Schwenn M, Colt JS, Ayotte JD, et al.</w:t>
      </w:r>
      <w:r>
        <w:t xml:space="preserve"> </w:t>
      </w:r>
      <w:hyperlink r:id="rId141">
        <w:r>
          <w:rPr>
            <w:rStyle w:val="Hyperlink"/>
          </w:rPr>
          <w:t xml:space="preserve">Elevated bladder cancer in northern new england: The role of drinking water and arsenic</w:t>
        </w:r>
      </w:hyperlink>
      <w:r>
        <w:t xml:space="preserve">. J Natl Cancer Inst. 2016;108(9).</w:t>
      </w:r>
      <w:r>
        <w:t xml:space="preserve"> </w:t>
      </w:r>
    </w:p>
    <w:bookmarkEnd w:id="142"/>
    <w:bookmarkStart w:id="144" w:name="ref-RN13"/>
    <w:p>
      <w:pPr>
        <w:pStyle w:val="Bibliography"/>
      </w:pPr>
      <w:r>
        <w:t xml:space="preserve">13.</w:t>
      </w:r>
      <w:r>
        <w:t xml:space="preserve"> </w:t>
      </w:r>
      <w:r>
        <w:t xml:space="preserve">	</w:t>
      </w:r>
      <w:r>
        <w:t xml:space="preserve">Beane Freeman LE, Cantor KP, Baris D, Nuckols JR, Johnson A, Colt JS, et al.</w:t>
      </w:r>
      <w:r>
        <w:t xml:space="preserve"> </w:t>
      </w:r>
      <w:hyperlink r:id="rId143">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144"/>
    <w:bookmarkStart w:id="146" w:name="ref-RN14"/>
    <w:p>
      <w:pPr>
        <w:pStyle w:val="Bibliography"/>
      </w:pPr>
      <w:r>
        <w:t xml:space="preserve">14.</w:t>
      </w:r>
      <w:r>
        <w:t xml:space="preserve"> </w:t>
      </w:r>
      <w:r>
        <w:t xml:space="preserve">	</w:t>
      </w:r>
      <w:r>
        <w:t xml:space="preserve">Amin RW, Stafford B, Guttmann RP.</w:t>
      </w:r>
      <w:r>
        <w:t xml:space="preserve"> </w:t>
      </w:r>
      <w:hyperlink r:id="rId145">
        <w:r>
          <w:rPr>
            <w:rStyle w:val="Hyperlink"/>
          </w:rPr>
          <w:t xml:space="preserve">A spatial study of bladder cancer mortality and incidence in the contiguous US: 2000-2014</w:t>
        </w:r>
      </w:hyperlink>
      <w:r>
        <w:t xml:space="preserve">. Sci Total Environ. 2019;670:806–13.</w:t>
      </w:r>
      <w:r>
        <w:t xml:space="preserve"> </w:t>
      </w:r>
    </w:p>
    <w:bookmarkEnd w:id="146"/>
    <w:bookmarkStart w:id="148" w:name="ref-RN15"/>
    <w:p>
      <w:pPr>
        <w:pStyle w:val="Bibliography"/>
      </w:pPr>
      <w:r>
        <w:t xml:space="preserve">15.</w:t>
      </w:r>
      <w:r>
        <w:t xml:space="preserve"> </w:t>
      </w:r>
      <w:r>
        <w:t xml:space="preserve">	</w:t>
      </w:r>
      <w:r>
        <w:t xml:space="preserve">Ghazwani Y, Alghafees M, Suheb MK, Shafqat A, Sabbah BN, Arabi TZ, et al.</w:t>
      </w:r>
      <w:r>
        <w:t xml:space="preserve"> </w:t>
      </w:r>
      <w:hyperlink r:id="rId14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48"/>
    <w:bookmarkStart w:id="150" w:name="ref-RN16"/>
    <w:p>
      <w:pPr>
        <w:pStyle w:val="Bibliography"/>
      </w:pPr>
      <w:r>
        <w:t xml:space="preserve">16.</w:t>
      </w:r>
      <w:r>
        <w:t xml:space="preserve"> </w:t>
      </w:r>
      <w:r>
        <w:t xml:space="preserve">	</w:t>
      </w:r>
      <w:r>
        <w:t xml:space="preserve">Schafer EJ, Jemal A, Wiese D, Sung H, Kratzer TB, Islami F, et al.</w:t>
      </w:r>
      <w:r>
        <w:t xml:space="preserve"> </w:t>
      </w:r>
      <w:hyperlink r:id="rId149">
        <w:r>
          <w:rPr>
            <w:rStyle w:val="Hyperlink"/>
          </w:rPr>
          <w:t xml:space="preserve">Disparities and trends in genitourinary cancer incidence and mortality in the USA</w:t>
        </w:r>
      </w:hyperlink>
      <w:r>
        <w:t xml:space="preserve">. Eur Urol. 2023;84(1):117–26.</w:t>
      </w:r>
      <w:r>
        <w:t xml:space="preserve"> </w:t>
      </w:r>
    </w:p>
    <w:bookmarkEnd w:id="150"/>
    <w:bookmarkStart w:id="152" w:name="ref-RN17"/>
    <w:p>
      <w:pPr>
        <w:pStyle w:val="Bibliography"/>
      </w:pPr>
      <w:r>
        <w:t xml:space="preserve">17.</w:t>
      </w:r>
      <w:r>
        <w:t xml:space="preserve"> </w:t>
      </w:r>
      <w:r>
        <w:t xml:space="preserve">	</w:t>
      </w:r>
      <w:r>
        <w:t xml:space="preserve">Smith ND, Prasad SM, Patel AR, Weiner AB, Pariser JJ, Razmaria A, et al.</w:t>
      </w:r>
      <w:r>
        <w:t xml:space="preserve"> </w:t>
      </w:r>
      <w:hyperlink r:id="rId15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52"/>
    <w:bookmarkStart w:id="154" w:name="ref-RN18"/>
    <w:p>
      <w:pPr>
        <w:pStyle w:val="Bibliography"/>
      </w:pPr>
      <w:r>
        <w:t xml:space="preserve">18.</w:t>
      </w:r>
      <w:r>
        <w:t xml:space="preserve"> </w:t>
      </w:r>
      <w:r>
        <w:t xml:space="preserve">	</w:t>
      </w:r>
      <w:r>
        <w:t xml:space="preserve">Prevention NCI&amp;C for DC and. State cancer profiles [Internet]. Vol. 2025. 2023. Available from:</w:t>
      </w:r>
      <w:r>
        <w:t xml:space="preserve"> </w:t>
      </w:r>
      <w:hyperlink r:id="rId153">
        <w:r>
          <w:rPr>
            <w:rStyle w:val="Hyperlink"/>
          </w:rPr>
          <w:t xml:space="preserve">https://statecancerprofiles.cancer.gov/index.html</w:t>
        </w:r>
      </w:hyperlink>
    </w:p>
    <w:bookmarkEnd w:id="154"/>
    <w:bookmarkStart w:id="156" w:name="ref-RN19"/>
    <w:p>
      <w:pPr>
        <w:pStyle w:val="Bibliography"/>
      </w:pPr>
      <w:r>
        <w:t xml:space="preserve">19.</w:t>
      </w:r>
      <w:r>
        <w:t xml:space="preserve"> </w:t>
      </w:r>
      <w:r>
        <w:t xml:space="preserve">	</w:t>
      </w:r>
      <w:r>
        <w:t xml:space="preserve">Pompa IR, Qi D, Ghosh A, Goldberg SI, Chino F, Efstathiou JA, et al.</w:t>
      </w:r>
      <w:r>
        <w:t xml:space="preserve"> </w:t>
      </w:r>
      <w:hyperlink r:id="rId155">
        <w:r>
          <w:rPr>
            <w:rStyle w:val="Hyperlink"/>
          </w:rPr>
          <w:t xml:space="preserve">Longitudinal analysis of bladder cancer-specific mortality trends in the united states</w:t>
        </w:r>
      </w:hyperlink>
      <w:r>
        <w:t xml:space="preserve">. Bladder Cancer. 2023;9(4):345–53.</w:t>
      </w:r>
      <w:r>
        <w:t xml:space="preserve"> </w:t>
      </w:r>
    </w:p>
    <w:bookmarkEnd w:id="156"/>
    <w:bookmarkStart w:id="158" w:name="ref-RN20"/>
    <w:p>
      <w:pPr>
        <w:pStyle w:val="Bibliography"/>
      </w:pPr>
      <w:r>
        <w:t xml:space="preserve">20.</w:t>
      </w:r>
      <w:r>
        <w:t xml:space="preserve"> </w:t>
      </w:r>
      <w:r>
        <w:t xml:space="preserve">	</w:t>
      </w:r>
      <w:r>
        <w:t xml:space="preserve">Hasan S, Lazarev S, Garg M, Mehta K, Press RH, Chhabra A, et al.</w:t>
      </w:r>
      <w:r>
        <w:t xml:space="preserve"> </w:t>
      </w:r>
      <w:hyperlink r:id="rId157">
        <w:r>
          <w:rPr>
            <w:rStyle w:val="Hyperlink"/>
          </w:rPr>
          <w:t xml:space="preserve">Racial inequity and other social disparities in the diagnosis and management of bladder cancer</w:t>
        </w:r>
      </w:hyperlink>
      <w:r>
        <w:t xml:space="preserve">. Cancer Med. 2023;12(1):640–50.</w:t>
      </w:r>
      <w:r>
        <w:t xml:space="preserve"> </w:t>
      </w:r>
    </w:p>
    <w:bookmarkEnd w:id="158"/>
    <w:bookmarkStart w:id="160" w:name="ref-RN22"/>
    <w:p>
      <w:pPr>
        <w:pStyle w:val="Bibliography"/>
      </w:pPr>
      <w:r>
        <w:t xml:space="preserve">21.</w:t>
      </w:r>
      <w:r>
        <w:t xml:space="preserve"> </w:t>
      </w:r>
      <w:r>
        <w:t xml:space="preserve">	</w:t>
      </w:r>
      <w:r>
        <w:t xml:space="preserve">Sung H, Ferlay J, Siegel RL, Laversanne M, Soerjomataram I, Jemal A, et al.</w:t>
      </w:r>
      <w:r>
        <w:t xml:space="preserve"> </w:t>
      </w:r>
      <w:hyperlink r:id="rId15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60"/>
    <w:bookmarkStart w:id="162" w:name="ref-RN23"/>
    <w:p>
      <w:pPr>
        <w:pStyle w:val="Bibliography"/>
      </w:pPr>
      <w:r>
        <w:t xml:space="preserve">22.</w:t>
      </w:r>
      <w:r>
        <w:t xml:space="preserve"> </w:t>
      </w:r>
      <w:r>
        <w:t xml:space="preserve">	</w:t>
      </w:r>
      <w:r>
        <w:t xml:space="preserve">Liu S, Yang T, Na R, Hu M, Zhang L, Fu Y, et al.</w:t>
      </w:r>
      <w:r>
        <w:t xml:space="preserve"> </w:t>
      </w:r>
      <w:hyperlink r:id="rId16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62"/>
    <w:bookmarkStart w:id="164" w:name="ref-ferrari2024"/>
    <w:p>
      <w:pPr>
        <w:pStyle w:val="Bibliography"/>
      </w:pPr>
      <w:r>
        <w:t xml:space="preserve">23.</w:t>
      </w:r>
      <w:r>
        <w:t xml:space="preserve"> </w:t>
      </w:r>
      <w:r>
        <w:t xml:space="preserve">	</w:t>
      </w:r>
      <w:r>
        <w:t xml:space="preserve">Ferrari AJ, Santomauro DF, Aali A, Abate YH, Abbafati C, Abbastabar H, et al.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63">
        <w:r>
          <w:rPr>
            <w:rStyle w:val="Hyperlink"/>
          </w:rPr>
          <w:t xml:space="preserve">http://dx.doi.org/10.1016/S0140-6736(24)00757-8</w:t>
        </w:r>
      </w:hyperlink>
    </w:p>
    <w:bookmarkEnd w:id="164"/>
    <w:bookmarkStart w:id="166" w:name="ref-naghavi2024"/>
    <w:p>
      <w:pPr>
        <w:pStyle w:val="Bibliography"/>
      </w:pPr>
      <w:r>
        <w:t xml:space="preserve">24.</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65">
        <w:r>
          <w:rPr>
            <w:rStyle w:val="Hyperlink"/>
          </w:rPr>
          <w:t xml:space="preserve">http://dx.doi.org/10.1016/s0140-6736(24)00367-2</w:t>
        </w:r>
      </w:hyperlink>
    </w:p>
    <w:bookmarkEnd w:id="166"/>
    <w:bookmarkStart w:id="168" w:name="ref-feigin2021"/>
    <w:p>
      <w:pPr>
        <w:pStyle w:val="Bibliography"/>
      </w:pPr>
      <w:r>
        <w:t xml:space="preserve">25.</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67">
        <w:r>
          <w:rPr>
            <w:rStyle w:val="Hyperlink"/>
          </w:rPr>
          <w:t xml:space="preserve">http://dx.doi.org/10.1016/s1474-4422(21)00252-0</w:t>
        </w:r>
      </w:hyperlink>
    </w:p>
    <w:bookmarkEnd w:id="168"/>
    <w:bookmarkStart w:id="170" w:name="X4857e18fa263add03d367ee42aaf3b3ec4487f5"/>
    <w:p>
      <w:pPr>
        <w:pStyle w:val="Bibliography"/>
      </w:pPr>
      <w:r>
        <w:t xml:space="preserve">26.</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69">
        <w:r>
          <w:rPr>
            <w:rStyle w:val="Hyperlink"/>
          </w:rPr>
          <w:t xml:space="preserve">https://ghdx.healthdata.org/node/548352</w:t>
        </w:r>
      </w:hyperlink>
    </w:p>
    <w:bookmarkEnd w:id="170"/>
    <w:bookmarkStart w:id="172" w:name="ref-allaire2024b"/>
    <w:p>
      <w:pPr>
        <w:pStyle w:val="Bibliography"/>
      </w:pPr>
      <w:r>
        <w:t xml:space="preserve">27.</w:t>
      </w:r>
      <w:r>
        <w:t xml:space="preserve"> </w:t>
      </w:r>
      <w:r>
        <w:t xml:space="preserve">	</w:t>
      </w:r>
      <w:r>
        <w:t xml:space="preserve">Allaire J, Xie Y, Dervieux C, McPherson J, Luraschi J, Ushey K, et al. Rmarkdown: Dynamic documents for r [Internet]. 2024. Available from:</w:t>
      </w:r>
      <w:r>
        <w:t xml:space="preserve"> </w:t>
      </w:r>
      <w:hyperlink r:id="rId171">
        <w:r>
          <w:rPr>
            <w:rStyle w:val="Hyperlink"/>
          </w:rPr>
          <w:t xml:space="preserve">https://github.com/rstudio/rmarkdown</w:t>
        </w:r>
      </w:hyperlink>
    </w:p>
    <w:bookmarkEnd w:id="172"/>
    <w:bookmarkStart w:id="173" w:name="ref-allaire2024c"/>
    <w:p>
      <w:pPr>
        <w:pStyle w:val="Bibliography"/>
      </w:pPr>
      <w:r>
        <w:t xml:space="preserve">28.</w:t>
      </w:r>
      <w:r>
        <w:t xml:space="preserve"> </w:t>
      </w:r>
      <w:r>
        <w:t xml:space="preserve">	</w:t>
      </w:r>
      <w:r>
        <w:t xml:space="preserve">Allaire J, Xie Y, Dervieux C, McPherson J, Luraschi J, Ushey K, et al. Rmarkdown: Dynamic documents for r [Internet]. 2024. Available from:</w:t>
      </w:r>
      <w:r>
        <w:t xml:space="preserve"> </w:t>
      </w:r>
      <w:hyperlink r:id="rId171">
        <w:r>
          <w:rPr>
            <w:rStyle w:val="Hyperlink"/>
          </w:rPr>
          <w:t xml:space="preserve">https://github.com/rstudio/rmarkdown</w:t>
        </w:r>
      </w:hyperlink>
    </w:p>
    <w:bookmarkEnd w:id="173"/>
    <w:bookmarkStart w:id="175" w:name="ref-atkins2025b"/>
    <w:p>
      <w:pPr>
        <w:pStyle w:val="Bibliography"/>
      </w:pPr>
      <w:r>
        <w:t xml:space="preserve">29.</w:t>
      </w:r>
      <w:r>
        <w:t xml:space="preserve"> </w:t>
      </w:r>
      <w:r>
        <w:t xml:space="preserve">	</w:t>
      </w:r>
      <w:r>
        <w:t xml:space="preserve">Atkins A, Allen T, Wickham H, McPherson J, Allaire J. Rsconnect: Deploy docs, apps, and apis to ’posit connect’, ’shinyapps.io’, and ’rpubs’ [Internet]. 2025. Available from:</w:t>
      </w:r>
      <w:r>
        <w:t xml:space="preserve"> </w:t>
      </w:r>
      <w:hyperlink r:id="rId174">
        <w:r>
          <w:rPr>
            <w:rStyle w:val="Hyperlink"/>
          </w:rPr>
          <w:t xml:space="preserve">https://CRAN.R-project.org/package=rsconnect</w:t>
        </w:r>
      </w:hyperlink>
    </w:p>
    <w:bookmarkEnd w:id="175"/>
    <w:bookmarkStart w:id="177" w:name="ref-attali2021a"/>
    <w:p>
      <w:pPr>
        <w:pStyle w:val="Bibliography"/>
      </w:pPr>
      <w:r>
        <w:t xml:space="preserve">30.</w:t>
      </w:r>
      <w:r>
        <w:t xml:space="preserve"> </w:t>
      </w:r>
      <w:r>
        <w:t xml:space="preserve">	</w:t>
      </w:r>
      <w:r>
        <w:t xml:space="preserve">Attali D. Shinyjs: Easily improve the user experience of your shiny apps in seconds [Internet]. 2021. Available from:</w:t>
      </w:r>
      <w:r>
        <w:t xml:space="preserve"> </w:t>
      </w:r>
      <w:hyperlink r:id="rId176">
        <w:r>
          <w:rPr>
            <w:rStyle w:val="Hyperlink"/>
          </w:rPr>
          <w:t xml:space="preserve">https://CRAN.R-project.org/package=shinyjs</w:t>
        </w:r>
      </w:hyperlink>
    </w:p>
    <w:bookmarkEnd w:id="177"/>
    <w:bookmarkStart w:id="179" w:name="ref-bååth2024a"/>
    <w:p>
      <w:pPr>
        <w:pStyle w:val="Bibliography"/>
      </w:pPr>
      <w:r>
        <w:t xml:space="preserve">31.</w:t>
      </w:r>
      <w:r>
        <w:t xml:space="preserve"> </w:t>
      </w:r>
      <w:r>
        <w:t xml:space="preserve">	</w:t>
      </w:r>
      <w:r>
        <w:t xml:space="preserve">Bååth R. Beepr: Easily play notification sounds on any platform [Internet]. 2024. Available from:</w:t>
      </w:r>
      <w:r>
        <w:t xml:space="preserve"> </w:t>
      </w:r>
      <w:hyperlink r:id="rId178">
        <w:r>
          <w:rPr>
            <w:rStyle w:val="Hyperlink"/>
          </w:rPr>
          <w:t xml:space="preserve">https://CRAN.R-project.org/package=beepr</w:t>
        </w:r>
      </w:hyperlink>
    </w:p>
    <w:bookmarkEnd w:id="179"/>
    <w:bookmarkStart w:id="181" w:name="ref-campitelli2025a"/>
    <w:p>
      <w:pPr>
        <w:pStyle w:val="Bibliography"/>
      </w:pPr>
      <w:r>
        <w:t xml:space="preserve">32.</w:t>
      </w:r>
      <w:r>
        <w:t xml:space="preserve"> </w:t>
      </w:r>
      <w:r>
        <w:t xml:space="preserve">	</w:t>
      </w:r>
      <w:r>
        <w:t xml:space="preserve">Campitelli E. Ggnewscale: Multiple fill and colour scales in ’ggplot2’ [Internet]. 2025. Available from:</w:t>
      </w:r>
      <w:r>
        <w:t xml:space="preserve"> </w:t>
      </w:r>
      <w:hyperlink r:id="rId180">
        <w:r>
          <w:rPr>
            <w:rStyle w:val="Hyperlink"/>
          </w:rPr>
          <w:t xml:space="preserve">https://CRAN.R-project.org/package=ggnewscale</w:t>
        </w:r>
      </w:hyperlink>
    </w:p>
    <w:bookmarkEnd w:id="181"/>
    <w:bookmarkStart w:id="183" w:name="ref-chang2025a"/>
    <w:p>
      <w:pPr>
        <w:pStyle w:val="Bibliography"/>
      </w:pPr>
      <w:r>
        <w:t xml:space="preserve">33.</w:t>
      </w:r>
      <w:r>
        <w:t xml:space="preserve"> </w:t>
      </w:r>
      <w:r>
        <w:t xml:space="preserve">	</w:t>
      </w:r>
      <w:r>
        <w:t xml:space="preserve">Chang W, Cheng J, Allaire J, Sievert C, Schloerke B, Xie Y, et al. Shiny: Web application framework for r [Internet]. 2025. Available from:</w:t>
      </w:r>
      <w:r>
        <w:t xml:space="preserve"> </w:t>
      </w:r>
      <w:hyperlink r:id="rId182">
        <w:r>
          <w:rPr>
            <w:rStyle w:val="Hyperlink"/>
          </w:rPr>
          <w:t xml:space="preserve">https://CRAN.R-project.org/package=shiny</w:t>
        </w:r>
      </w:hyperlink>
    </w:p>
    <w:bookmarkEnd w:id="183"/>
    <w:bookmarkStart w:id="185" w:name="ref-gohel2025a"/>
    <w:p>
      <w:pPr>
        <w:pStyle w:val="Bibliography"/>
      </w:pPr>
      <w:r>
        <w:t xml:space="preserve">34.</w:t>
      </w:r>
      <w:r>
        <w:t xml:space="preserve"> </w:t>
      </w:r>
      <w:r>
        <w:t xml:space="preserve">	</w:t>
      </w:r>
      <w:r>
        <w:t xml:space="preserve">Gohel D, Moog S, Heckmann M. Officer: Manipulation of microsoft word and PowerPoint documents [Internet]. 2025. Available from:</w:t>
      </w:r>
      <w:r>
        <w:t xml:space="preserve"> </w:t>
      </w:r>
      <w:hyperlink r:id="rId184">
        <w:r>
          <w:rPr>
            <w:rStyle w:val="Hyperlink"/>
          </w:rPr>
          <w:t xml:space="preserve">https://CRAN.R-project.org/package=officer</w:t>
        </w:r>
      </w:hyperlink>
    </w:p>
    <w:bookmarkEnd w:id="185"/>
    <w:bookmarkStart w:id="187" w:name="ref-hafen2025"/>
    <w:p>
      <w:pPr>
        <w:pStyle w:val="Bibliography"/>
      </w:pPr>
      <w:r>
        <w:t xml:space="preserve">35.</w:t>
      </w:r>
      <w:r>
        <w:t xml:space="preserve"> </w:t>
      </w:r>
      <w:r>
        <w:t xml:space="preserve">	</w:t>
      </w:r>
      <w:r>
        <w:t xml:space="preserve">Hafen R. Geofacet: ’ggplot2’ faceting utilities for geographical data [Internet]. 2025. Available from:</w:t>
      </w:r>
      <w:r>
        <w:t xml:space="preserve"> </w:t>
      </w:r>
      <w:hyperlink r:id="rId186">
        <w:r>
          <w:rPr>
            <w:rStyle w:val="Hyperlink"/>
          </w:rPr>
          <w:t xml:space="preserve">https://CRAN.R-project.org/package=geofacet</w:t>
        </w:r>
      </w:hyperlink>
    </w:p>
    <w:bookmarkEnd w:id="187"/>
    <w:bookmarkStart w:id="189" w:name="ref-hester2024"/>
    <w:p>
      <w:pPr>
        <w:pStyle w:val="Bibliography"/>
      </w:pPr>
      <w:r>
        <w:t xml:space="preserve">36.</w:t>
      </w:r>
      <w:r>
        <w:t xml:space="preserve"> </w:t>
      </w:r>
      <w:r>
        <w:t xml:space="preserve">	</w:t>
      </w:r>
      <w:r>
        <w:t xml:space="preserve">Hester J, Bryan J. Glue: Interpreted string literals [Internet]. 2024. Available from:</w:t>
      </w:r>
      <w:r>
        <w:t xml:space="preserve"> </w:t>
      </w:r>
      <w:hyperlink r:id="rId188">
        <w:r>
          <w:rPr>
            <w:rStyle w:val="Hyperlink"/>
          </w:rPr>
          <w:t xml:space="preserve">https://CRAN.R-project.org/package=glue</w:t>
        </w:r>
      </w:hyperlink>
    </w:p>
    <w:bookmarkEnd w:id="189"/>
    <w:bookmarkStart w:id="191" w:name="ref-hughes2022"/>
    <w:p>
      <w:pPr>
        <w:pStyle w:val="Bibliography"/>
      </w:pPr>
      <w:r>
        <w:t xml:space="preserve">37.</w:t>
      </w:r>
      <w:r>
        <w:t xml:space="preserve"> </w:t>
      </w:r>
      <w:r>
        <w:t xml:space="preserve">	</w:t>
      </w:r>
      <w:r>
        <w:t xml:space="preserve">Hughes E. Camcorder: Record your plot history [Internet]. 2022. Available from:</w:t>
      </w:r>
      <w:r>
        <w:t xml:space="preserve"> </w:t>
      </w:r>
      <w:hyperlink r:id="rId190">
        <w:r>
          <w:rPr>
            <w:rStyle w:val="Hyperlink"/>
          </w:rPr>
          <w:t xml:space="preserve">https://CRAN.R-project.org/package=camcorder</w:t>
        </w:r>
      </w:hyperlink>
    </w:p>
    <w:bookmarkEnd w:id="191"/>
    <w:bookmarkStart w:id="193" w:name="ref-hvitfeldt2021"/>
    <w:p>
      <w:pPr>
        <w:pStyle w:val="Bibliography"/>
      </w:pPr>
      <w:r>
        <w:t xml:space="preserve">38.</w:t>
      </w:r>
      <w:r>
        <w:t xml:space="preserve"> </w:t>
      </w:r>
      <w:r>
        <w:t xml:space="preserve">	</w:t>
      </w:r>
      <w:r>
        <w:t xml:space="preserve">Hvitfeldt E. Paletteer: Comprehensive collection of color palettes [Internet]. 2021. Available from:</w:t>
      </w:r>
      <w:r>
        <w:t xml:space="preserve"> </w:t>
      </w:r>
      <w:hyperlink r:id="rId192">
        <w:r>
          <w:rPr>
            <w:rStyle w:val="Hyperlink"/>
          </w:rPr>
          <w:t xml:space="preserve">https://github.com/EmilHvitfeldt/paletteer</w:t>
        </w:r>
      </w:hyperlink>
    </w:p>
    <w:bookmarkEnd w:id="193"/>
    <w:bookmarkStart w:id="195" w:name="ref-müller2025"/>
    <w:p>
      <w:pPr>
        <w:pStyle w:val="Bibliography"/>
      </w:pPr>
      <w:r>
        <w:t xml:space="preserve">39.</w:t>
      </w:r>
      <w:r>
        <w:t xml:space="preserve"> </w:t>
      </w:r>
      <w:r>
        <w:t xml:space="preserve">	</w:t>
      </w:r>
      <w:r>
        <w:t xml:space="preserve">Müller K, Wickham H. Tibble: Simple data frames [Internet]. 2025. Available from:</w:t>
      </w:r>
      <w:r>
        <w:t xml:space="preserve"> </w:t>
      </w:r>
      <w:hyperlink r:id="rId194">
        <w:r>
          <w:rPr>
            <w:rStyle w:val="Hyperlink"/>
          </w:rPr>
          <w:t xml:space="preserve">https://CRAN.R-project.org/package=tibble</w:t>
        </w:r>
      </w:hyperlink>
    </w:p>
    <w:bookmarkEnd w:id="195"/>
    <w:bookmarkStart w:id="197" w:name="ref-pedersen2025"/>
    <w:p>
      <w:pPr>
        <w:pStyle w:val="Bibliography"/>
      </w:pPr>
      <w:r>
        <w:t xml:space="preserve">40.</w:t>
      </w:r>
      <w:r>
        <w:t xml:space="preserve"> </w:t>
      </w:r>
      <w:r>
        <w:t xml:space="preserve">	</w:t>
      </w:r>
      <w:r>
        <w:t xml:space="preserve">Pedersen TL, Robinson D. Gganimate: A grammar of animated graphics [Internet]. 2025. Available from:</w:t>
      </w:r>
      <w:r>
        <w:t xml:space="preserve"> </w:t>
      </w:r>
      <w:hyperlink r:id="rId196">
        <w:r>
          <w:rPr>
            <w:rStyle w:val="Hyperlink"/>
          </w:rPr>
          <w:t xml:space="preserve">https://CRAN.R-project.org/package=gganimate</w:t>
        </w:r>
      </w:hyperlink>
    </w:p>
    <w:bookmarkEnd w:id="197"/>
    <w:bookmarkStart w:id="199" w:name="ref-richardson2025"/>
    <w:p>
      <w:pPr>
        <w:pStyle w:val="Bibliography"/>
      </w:pPr>
      <w:r>
        <w:t xml:space="preserve">41.</w:t>
      </w:r>
      <w:r>
        <w:t xml:space="preserve"> </w:t>
      </w:r>
      <w:r>
        <w:t xml:space="preserve">	</w:t>
      </w:r>
      <w:r>
        <w:t xml:space="preserve">Richardson N, Cook I, Crane N, Dunnington D, François R, Keane J, et al. Arrow: Integration to ’apache’ ’arrow’ [Internet]. 2025. Available from:</w:t>
      </w:r>
      <w:r>
        <w:t xml:space="preserve"> </w:t>
      </w:r>
      <w:hyperlink r:id="rId198">
        <w:r>
          <w:rPr>
            <w:rStyle w:val="Hyperlink"/>
          </w:rPr>
          <w:t xml:space="preserve">https://CRAN.R-project.org/package=arrow</w:t>
        </w:r>
      </w:hyperlink>
    </w:p>
    <w:bookmarkEnd w:id="199"/>
    <w:bookmarkStart w:id="201" w:name="ref-RJ-2021-048"/>
    <w:p>
      <w:pPr>
        <w:pStyle w:val="Bibliography"/>
      </w:pPr>
      <w:r>
        <w:t xml:space="preserve">42.</w:t>
      </w:r>
      <w:r>
        <w:t xml:space="preserve"> </w:t>
      </w:r>
      <w:r>
        <w:t xml:space="preserve">	</w:t>
      </w:r>
      <w:r>
        <w:t xml:space="preserve">Bengtsson H. A unifying framework for parallel and distributed processing in r using futures. The R Journal [Internet]. 2021;13(2):208227. Available from:</w:t>
      </w:r>
      <w:r>
        <w:t xml:space="preserve"> </w:t>
      </w:r>
      <w:hyperlink r:id="rId200">
        <w:r>
          <w:rPr>
            <w:rStyle w:val="Hyperlink"/>
          </w:rPr>
          <w:t xml:space="preserve">https://doi.org/10.32614/RJ-2021-048</w:t>
        </w:r>
      </w:hyperlink>
    </w:p>
    <w:bookmarkEnd w:id="201"/>
    <w:bookmarkStart w:id="203" w:name="ref-sievert2025"/>
    <w:p>
      <w:pPr>
        <w:pStyle w:val="Bibliography"/>
      </w:pPr>
      <w:r>
        <w:t xml:space="preserve">43.</w:t>
      </w:r>
      <w:r>
        <w:t xml:space="preserve"> </w:t>
      </w:r>
      <w:r>
        <w:t xml:space="preserve">	</w:t>
      </w:r>
      <w:r>
        <w:t xml:space="preserve">Sievert C, Cheng J, Aden-Buie G. Bslib: Custom ’bootstrap’ ’sass’ themes for ’shiny’ and ’rmarkdown’ [Internet]. 2025. Available from:</w:t>
      </w:r>
      <w:r>
        <w:t xml:space="preserve"> </w:t>
      </w:r>
      <w:hyperlink r:id="rId202">
        <w:r>
          <w:rPr>
            <w:rStyle w:val="Hyperlink"/>
          </w:rPr>
          <w:t xml:space="preserve">https://CRAN.R-project.org/package=bslib</w:t>
        </w:r>
      </w:hyperlink>
    </w:p>
    <w:bookmarkEnd w:id="203"/>
    <w:bookmarkStart w:id="205" w:name="ref-sjoberg2020"/>
    <w:p>
      <w:pPr>
        <w:pStyle w:val="Bibliography"/>
      </w:pPr>
      <w:r>
        <w:t xml:space="preserve">44.</w:t>
      </w:r>
      <w:r>
        <w:t xml:space="preserve"> </w:t>
      </w:r>
      <w:r>
        <w:t xml:space="preserve">	</w:t>
      </w:r>
      <w:r>
        <w:t xml:space="preserve">Sjoberg D. Ggbump: Bump chart and sigmoid curves [Internet]. 2020. Available from:</w:t>
      </w:r>
      <w:r>
        <w:t xml:space="preserve"> </w:t>
      </w:r>
      <w:hyperlink r:id="rId204">
        <w:r>
          <w:rPr>
            <w:rStyle w:val="Hyperlink"/>
          </w:rPr>
          <w:t xml:space="preserve">https://CRAN.R-project.org/package=ggbump</w:t>
        </w:r>
      </w:hyperlink>
    </w:p>
    <w:bookmarkEnd w:id="205"/>
    <w:bookmarkStart w:id="207" w:name="ref-vaughan2022"/>
    <w:p>
      <w:pPr>
        <w:pStyle w:val="Bibliography"/>
      </w:pPr>
      <w:r>
        <w:t xml:space="preserve">45.</w:t>
      </w:r>
      <w:r>
        <w:t xml:space="preserve"> </w:t>
      </w:r>
      <w:r>
        <w:t xml:space="preserve">	</w:t>
      </w:r>
      <w:r>
        <w:t xml:space="preserve">Vaughan D, Dancho M. Furrr: Apply mapping functions in parallel using futures [Internet]. 2022. Available from:</w:t>
      </w:r>
      <w:r>
        <w:t xml:space="preserve"> </w:t>
      </w:r>
      <w:hyperlink r:id="rId206">
        <w:r>
          <w:rPr>
            <w:rStyle w:val="Hyperlink"/>
          </w:rPr>
          <w:t xml:space="preserve">https://CRAN.R-project.org/package=furrr</w:t>
        </w:r>
      </w:hyperlink>
    </w:p>
    <w:bookmarkEnd w:id="207"/>
    <w:bookmarkStart w:id="209" w:name="ref-wickham2016"/>
    <w:p>
      <w:pPr>
        <w:pStyle w:val="Bibliography"/>
      </w:pPr>
      <w:r>
        <w:t xml:space="preserve">46.</w:t>
      </w:r>
      <w:r>
        <w:t xml:space="preserve"> </w:t>
      </w:r>
      <w:r>
        <w:t xml:space="preserve">	</w:t>
      </w:r>
      <w:r>
        <w:t xml:space="preserve">Wickham H. ggplot2: Elegant graphics for data analysis [Internet]. Springer-Verlag New York; 2016. Available from:</w:t>
      </w:r>
      <w:r>
        <w:t xml:space="preserve"> </w:t>
      </w:r>
      <w:hyperlink r:id="rId208">
        <w:r>
          <w:rPr>
            <w:rStyle w:val="Hyperlink"/>
          </w:rPr>
          <w:t xml:space="preserve">https://ggplot2.tidyverse.org</w:t>
        </w:r>
      </w:hyperlink>
    </w:p>
    <w:bookmarkEnd w:id="209"/>
    <w:bookmarkStart w:id="211" w:name="ref-wickham2019"/>
    <w:p>
      <w:pPr>
        <w:pStyle w:val="Bibliography"/>
      </w:pPr>
      <w:r>
        <w:t xml:space="preserve">47.</w:t>
      </w:r>
      <w:r>
        <w:t xml:space="preserve"> </w:t>
      </w:r>
      <w:r>
        <w:t xml:space="preserve">	</w:t>
      </w:r>
      <w:r>
        <w:t xml:space="preserve">Wickham H, Averick M, Bryan J, Chang W, McGowan LD, François R, et al.</w:t>
      </w:r>
      <w:r>
        <w:t xml:space="preserve"> </w:t>
      </w:r>
      <w:hyperlink r:id="rId210">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211"/>
    <w:bookmarkStart w:id="213" w:name="ref-wickham2023"/>
    <w:p>
      <w:pPr>
        <w:pStyle w:val="Bibliography"/>
      </w:pPr>
      <w:r>
        <w:t xml:space="preserve">48.</w:t>
      </w:r>
      <w:r>
        <w:t xml:space="preserve"> </w:t>
      </w:r>
      <w:r>
        <w:t xml:space="preserve">	</w:t>
      </w:r>
      <w:r>
        <w:t xml:space="preserve">Wickham H, François R, Henry L, Müller K, Vaughan D. Dplyr: A grammar of data manipulation [Internet]. 2023. Available from:</w:t>
      </w:r>
      <w:r>
        <w:t xml:space="preserve"> </w:t>
      </w:r>
      <w:hyperlink r:id="rId212">
        <w:r>
          <w:rPr>
            <w:rStyle w:val="Hyperlink"/>
          </w:rPr>
          <w:t xml:space="preserve">https://CRAN.R-project.org/package=dplyr</w:t>
        </w:r>
      </w:hyperlink>
    </w:p>
    <w:bookmarkEnd w:id="213"/>
    <w:bookmarkStart w:id="215" w:name="ref-wickham2025"/>
    <w:p>
      <w:pPr>
        <w:pStyle w:val="Bibliography"/>
      </w:pPr>
      <w:r>
        <w:t xml:space="preserve">49.</w:t>
      </w:r>
      <w:r>
        <w:t xml:space="preserve"> </w:t>
      </w:r>
      <w:r>
        <w:t xml:space="preserve">	</w:t>
      </w:r>
      <w:r>
        <w:t xml:space="preserve">Wickham H, Pedersen TL, Seidel D. Scales: Scale functions for visualization [Internet]. 2025. Available from:</w:t>
      </w:r>
      <w:r>
        <w:t xml:space="preserve"> </w:t>
      </w:r>
      <w:hyperlink r:id="rId214">
        <w:r>
          <w:rPr>
            <w:rStyle w:val="Hyperlink"/>
          </w:rPr>
          <w:t xml:space="preserve">https://CRAN.R-project.org/package=scales</w:t>
        </w:r>
      </w:hyperlink>
    </w:p>
    <w:bookmarkEnd w:id="215"/>
    <w:bookmarkStart w:id="217" w:name="ref-wilke2022"/>
    <w:p>
      <w:pPr>
        <w:pStyle w:val="Bibliography"/>
      </w:pPr>
      <w:r>
        <w:t xml:space="preserve">50.</w:t>
      </w:r>
      <w:r>
        <w:t xml:space="preserve"> </w:t>
      </w:r>
      <w:r>
        <w:t xml:space="preserve">	</w:t>
      </w:r>
      <w:r>
        <w:t xml:space="preserve">Wilke CO, Wiernik BM. Ggtext: Improved text rendering support for ’ggplot2’ [Internet]. 2022. Available from:</w:t>
      </w:r>
      <w:r>
        <w:t xml:space="preserve"> </w:t>
      </w:r>
      <w:hyperlink r:id="rId216">
        <w:r>
          <w:rPr>
            <w:rStyle w:val="Hyperlink"/>
          </w:rPr>
          <w:t xml:space="preserve">https://CRAN.R-project.org/package=ggtext</w:t>
        </w:r>
      </w:hyperlink>
    </w:p>
    <w:bookmarkEnd w:id="217"/>
    <w:bookmarkStart w:id="218" w:name="ref-xie2014a"/>
    <w:p>
      <w:pPr>
        <w:pStyle w:val="Bibliography"/>
      </w:pPr>
      <w:r>
        <w:t xml:space="preserve">51.</w:t>
      </w:r>
      <w:r>
        <w:t xml:space="preserve"> </w:t>
      </w:r>
      <w:r>
        <w:t xml:space="preserve">	</w:t>
      </w:r>
      <w:r>
        <w:t xml:space="preserve">Xie Y. Knitr: A comprehensive tool for reproducible research in r. In: Stodden V, Leisch F, Peng RD, editors. Chapman; Hall/CRC; 2014.</w:t>
      </w:r>
      <w:r>
        <w:t xml:space="preserve"> </w:t>
      </w:r>
    </w:p>
    <w:bookmarkEnd w:id="218"/>
    <w:bookmarkStart w:id="220" w:name="ref-xie2015"/>
    <w:p>
      <w:pPr>
        <w:pStyle w:val="Bibliography"/>
      </w:pPr>
      <w:r>
        <w:t xml:space="preserve">52.</w:t>
      </w:r>
      <w:r>
        <w:t xml:space="preserve"> </w:t>
      </w:r>
      <w:r>
        <w:t xml:space="preserve">	</w:t>
      </w:r>
      <w:r>
        <w:t xml:space="preserve">Xie Y. Dynamic documents with r and knitr [Internet]. 2nd ed. Boca Raton, Florida: Chapman; Hall/CRC; 2015. Available from:</w:t>
      </w:r>
      <w:r>
        <w:t xml:space="preserve"> </w:t>
      </w:r>
      <w:hyperlink r:id="rId219">
        <w:r>
          <w:rPr>
            <w:rStyle w:val="Hyperlink"/>
          </w:rPr>
          <w:t xml:space="preserve">https://yihui.org/knitr/</w:t>
        </w:r>
      </w:hyperlink>
    </w:p>
    <w:bookmarkEnd w:id="220"/>
    <w:bookmarkStart w:id="222" w:name="ref-xie2018"/>
    <w:p>
      <w:pPr>
        <w:pStyle w:val="Bibliography"/>
      </w:pPr>
      <w:r>
        <w:t xml:space="preserve">53.</w:t>
      </w:r>
      <w:r>
        <w:t xml:space="preserve"> </w:t>
      </w:r>
      <w:r>
        <w:t xml:space="preserve">	</w:t>
      </w:r>
      <w:r>
        <w:t xml:space="preserve">Xie Y, Allaire JJ, Grolemund G. R markdown: The definitive guide [Internet]. Boca Raton, Florida: Chapman; Hall/CRC; 2018. Available from:</w:t>
      </w:r>
      <w:r>
        <w:t xml:space="preserve"> </w:t>
      </w:r>
      <w:hyperlink r:id="rId221">
        <w:r>
          <w:rPr>
            <w:rStyle w:val="Hyperlink"/>
          </w:rPr>
          <w:t xml:space="preserve">https://bookdown.org/yihui/rmarkdown</w:t>
        </w:r>
      </w:hyperlink>
    </w:p>
    <w:bookmarkEnd w:id="222"/>
    <w:bookmarkStart w:id="224" w:name="ref-xie2020"/>
    <w:p>
      <w:pPr>
        <w:pStyle w:val="Bibliography"/>
      </w:pPr>
      <w:r>
        <w:t xml:space="preserve">54.</w:t>
      </w:r>
      <w:r>
        <w:t xml:space="preserve"> </w:t>
      </w:r>
      <w:r>
        <w:t xml:space="preserve">	</w:t>
      </w:r>
      <w:r>
        <w:t xml:space="preserve">Xie Y, Dervieux C, Riederer E. R markdown cookbook [Internet]. Boca Raton, Florida: Chapman; Hall/CRC; 2020. Available from:</w:t>
      </w:r>
      <w:r>
        <w:t xml:space="preserve"> </w:t>
      </w:r>
      <w:hyperlink r:id="rId223">
        <w:r>
          <w:rPr>
            <w:rStyle w:val="Hyperlink"/>
          </w:rPr>
          <w:t xml:space="preserve">https://bookdown.org/yihui/rmarkdown-cookbook</w:t>
        </w:r>
      </w:hyperlink>
    </w:p>
    <w:bookmarkEnd w:id="224"/>
    <w:bookmarkStart w:id="225" w:name="ref-xie2025"/>
    <w:p>
      <w:pPr>
        <w:pStyle w:val="Bibliography"/>
      </w:pPr>
      <w:r>
        <w:t xml:space="preserve">55.</w:t>
      </w:r>
      <w:r>
        <w:t xml:space="preserve"> </w:t>
      </w:r>
      <w:r>
        <w:t xml:space="preserve">	</w:t>
      </w:r>
      <w:r>
        <w:t xml:space="preserve">Xie Y. Knitr: A general-purpose package for dynamic report generation in r [Internet]. 2025. Available from:</w:t>
      </w:r>
      <w:r>
        <w:t xml:space="preserve"> </w:t>
      </w:r>
      <w:hyperlink r:id="rId219">
        <w:r>
          <w:rPr>
            <w:rStyle w:val="Hyperlink"/>
          </w:rPr>
          <w:t xml:space="preserve">https://yihui.org/knitr/</w:t>
        </w:r>
      </w:hyperlink>
    </w:p>
    <w:bookmarkEnd w:id="225"/>
    <w:bookmarkStart w:id="227" w:name="ref-RN24"/>
    <w:p>
      <w:pPr>
        <w:pStyle w:val="Bibliography"/>
      </w:pPr>
      <w:r>
        <w:t xml:space="preserve">56.</w:t>
      </w:r>
      <w:r>
        <w:t xml:space="preserve"> </w:t>
      </w:r>
      <w:r>
        <w:t xml:space="preserve">	</w:t>
      </w:r>
      <w:r>
        <w:t xml:space="preserve">Bank W. Vol. 2025. World Development Indicators; 2025. Available from:</w:t>
      </w:r>
      <w:r>
        <w:t xml:space="preserve"> </w:t>
      </w:r>
      <w:hyperlink r:id="rId226">
        <w:r>
          <w:rPr>
            <w:rStyle w:val="Hyperlink"/>
          </w:rPr>
          <w:t xml:space="preserve">https://data.worldbank.org/indicator/SH.XPD.CHEX.PP.CD</w:t>
        </w:r>
      </w:hyperlink>
    </w:p>
    <w:bookmarkEnd w:id="227"/>
    <w:bookmarkStart w:id="229" w:name="ref-RN25"/>
    <w:p>
      <w:pPr>
        <w:pStyle w:val="Bibliography"/>
      </w:pPr>
      <w:r>
        <w:t xml:space="preserve">57.</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228">
        <w:r>
          <w:rPr>
            <w:rStyle w:val="Hyperlink"/>
          </w:rPr>
          <w:t xml:space="preserve">https://www.sciencedirect.com/science/article/pii/S1078143911002808</w:t>
        </w:r>
      </w:hyperlink>
    </w:p>
    <w:bookmarkEnd w:id="229"/>
    <w:bookmarkStart w:id="231" w:name="ref-RN26"/>
    <w:p>
      <w:pPr>
        <w:pStyle w:val="Bibliography"/>
      </w:pPr>
      <w:r>
        <w:t xml:space="preserve">58.</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230">
        <w:r>
          <w:rPr>
            <w:rStyle w:val="Hyperlink"/>
          </w:rPr>
          <w:t xml:space="preserve">https://doi.org/10.1038/s41598-018-19199-z</w:t>
        </w:r>
      </w:hyperlink>
    </w:p>
    <w:bookmarkEnd w:id="231"/>
    <w:bookmarkStart w:id="233" w:name="ref-RN27"/>
    <w:p>
      <w:pPr>
        <w:pStyle w:val="Bibliography"/>
      </w:pPr>
      <w:r>
        <w:t xml:space="preserve">59.</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32">
        <w:r>
          <w:rPr>
            <w:rStyle w:val="Hyperlink"/>
          </w:rPr>
          <w:t xml:space="preserve">https://doi.org/10.1186/s40779-024-00569-w</w:t>
        </w:r>
      </w:hyperlink>
    </w:p>
    <w:bookmarkEnd w:id="233"/>
    <w:bookmarkStart w:id="235" w:name="ref-RN28"/>
    <w:p>
      <w:pPr>
        <w:pStyle w:val="Bibliography"/>
      </w:pPr>
      <w:r>
        <w:t xml:space="preserve">60.</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34">
        <w:r>
          <w:rPr>
            <w:rStyle w:val="Hyperlink"/>
          </w:rPr>
          <w:t xml:space="preserve">https://www.ncbi.nlm.nih.gov/books/NBK53914/</w:t>
        </w:r>
      </w:hyperlink>
    </w:p>
    <w:bookmarkEnd w:id="235"/>
    <w:bookmarkStart w:id="237" w:name="ref-RN29"/>
    <w:p>
      <w:pPr>
        <w:pStyle w:val="Bibliography"/>
      </w:pPr>
      <w:r>
        <w:t xml:space="preserve">61.</w:t>
      </w:r>
      <w:r>
        <w:t xml:space="preserve"> </w:t>
      </w:r>
      <w:r>
        <w:t xml:space="preserve">	</w:t>
      </w:r>
      <w:r>
        <w:t xml:space="preserve">Al-Zalabani AH, Stewart KF, Wesselius A, Schols AM, Zeegers MP.</w:t>
      </w:r>
      <w:r>
        <w:t xml:space="preserve"> </w:t>
      </w:r>
      <w:hyperlink r:id="rId236">
        <w:r>
          <w:rPr>
            <w:rStyle w:val="Hyperlink"/>
          </w:rPr>
          <w:t xml:space="preserve">Modifiable risk factors for the prevention of bladder cancer: A systematic review of meta-analyses</w:t>
        </w:r>
      </w:hyperlink>
      <w:r>
        <w:t xml:space="preserve">. Eur J Epidemiol. 2016;31(9):811–51.</w:t>
      </w:r>
      <w:r>
        <w:t xml:space="preserve"> </w:t>
      </w:r>
    </w:p>
    <w:bookmarkEnd w:id="237"/>
    <w:bookmarkStart w:id="239" w:name="ref-RN30"/>
    <w:p>
      <w:pPr>
        <w:pStyle w:val="Bibliography"/>
      </w:pPr>
      <w:r>
        <w:t xml:space="preserve">62.</w:t>
      </w:r>
      <w:r>
        <w:t xml:space="preserve"> </w:t>
      </w:r>
      <w:r>
        <w:t xml:space="preserve">	</w:t>
      </w:r>
      <w:r>
        <w:t xml:space="preserve">Czene K, Lichtenstein P, Hemminki K.</w:t>
      </w:r>
      <w:r>
        <w:t xml:space="preserve"> </w:t>
      </w:r>
      <w:hyperlink r:id="rId238">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39"/>
    <w:bookmarkStart w:id="241" w:name="ref-RN31"/>
    <w:p>
      <w:pPr>
        <w:pStyle w:val="Bibliography"/>
      </w:pPr>
      <w:r>
        <w:t xml:space="preserve">63.</w:t>
      </w:r>
      <w:r>
        <w:t xml:space="preserve"> </w:t>
      </w:r>
      <w:r>
        <w:t xml:space="preserve">	</w:t>
      </w:r>
      <w:r>
        <w:t xml:space="preserve">Halaseh SA, Halaseh S, Alali Y, Ashour ME, Alharayzah MJ.</w:t>
      </w:r>
      <w:r>
        <w:t xml:space="preserve"> </w:t>
      </w:r>
      <w:hyperlink r:id="rId240">
        <w:r>
          <w:rPr>
            <w:rStyle w:val="Hyperlink"/>
          </w:rPr>
          <w:t xml:space="preserve">A review of the etiology and epidemiology of bladder cancer: All you need to know</w:t>
        </w:r>
      </w:hyperlink>
      <w:r>
        <w:t xml:space="preserve">. Cureus. 2022;14(7):e27330.</w:t>
      </w:r>
      <w:r>
        <w:t xml:space="preserve"> </w:t>
      </w:r>
    </w:p>
    <w:bookmarkEnd w:id="241"/>
    <w:bookmarkStart w:id="243" w:name="ref-RN32"/>
    <w:p>
      <w:pPr>
        <w:pStyle w:val="Bibliography"/>
      </w:pPr>
      <w:r>
        <w:t xml:space="preserve">64.</w:t>
      </w:r>
      <w:r>
        <w:t xml:space="preserve"> </w:t>
      </w:r>
      <w:r>
        <w:t xml:space="preserve">	</w:t>
      </w:r>
      <w:r>
        <w:t xml:space="preserve">Shariat SF, Milowsky M, Droller MJ.</w:t>
      </w:r>
      <w:r>
        <w:t xml:space="preserve"> </w:t>
      </w:r>
      <w:hyperlink r:id="rId242">
        <w:r>
          <w:rPr>
            <w:rStyle w:val="Hyperlink"/>
          </w:rPr>
          <w:t xml:space="preserve">Bladder cancer in the elderly</w:t>
        </w:r>
      </w:hyperlink>
      <w:r>
        <w:t xml:space="preserve">. Urol Oncol. 2009;27(6):653–67.</w:t>
      </w:r>
      <w:r>
        <w:t xml:space="preserve"> </w:t>
      </w:r>
    </w:p>
    <w:bookmarkEnd w:id="243"/>
    <w:bookmarkStart w:id="245" w:name="ref-RN33"/>
    <w:p>
      <w:pPr>
        <w:pStyle w:val="Bibliography"/>
      </w:pPr>
      <w:r>
        <w:t xml:space="preserve">65.</w:t>
      </w:r>
      <w:r>
        <w:t xml:space="preserve"> </w:t>
      </w:r>
      <w:r>
        <w:t xml:space="preserve">	</w:t>
      </w:r>
      <w:r>
        <w:t xml:space="preserve">Cohn JA, Vekhter B, Lyttle C, Steinberg GD, Large MC.</w:t>
      </w:r>
      <w:r>
        <w:t xml:space="preserve"> </w:t>
      </w:r>
      <w:hyperlink r:id="rId244">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45"/>
    <w:bookmarkStart w:id="247" w:name="ref-RN21"/>
    <w:p>
      <w:pPr>
        <w:pStyle w:val="Bibliography"/>
      </w:pPr>
      <w:r>
        <w:t xml:space="preserve">66.</w:t>
      </w:r>
      <w:r>
        <w:t xml:space="preserve"> </w:t>
      </w:r>
      <w:r>
        <w:t xml:space="preserve">	</w:t>
      </w:r>
      <w:r>
        <w:t xml:space="preserve">Toren P, Wilkins A, Patel K, Burley A, Gris T, Kockelbergh R, et al.</w:t>
      </w:r>
      <w:r>
        <w:t xml:space="preserve"> </w:t>
      </w:r>
      <w:hyperlink r:id="rId246">
        <w:r>
          <w:rPr>
            <w:rStyle w:val="Hyperlink"/>
          </w:rPr>
          <w:t xml:space="preserve">The sex gap in bladder cancer survival - a missing link in bladder cancer care?</w:t>
        </w:r>
      </w:hyperlink>
      <w:r>
        <w:t xml:space="preserve"> Nat Rev Urol. 2024;21(3):181–92.</w:t>
      </w:r>
      <w:r>
        <w:t xml:space="preserve"> </w:t>
      </w:r>
    </w:p>
    <w:bookmarkEnd w:id="247"/>
    <w:bookmarkStart w:id="249" w:name="ref-RN34"/>
    <w:p>
      <w:pPr>
        <w:pStyle w:val="Bibliography"/>
      </w:pPr>
      <w:r>
        <w:t xml:space="preserve">67.</w:t>
      </w:r>
      <w:r>
        <w:t xml:space="preserve"> </w:t>
      </w:r>
      <w:r>
        <w:t xml:space="preserve">	</w:t>
      </w:r>
      <w:r>
        <w:t xml:space="preserve">Ghandour R, Freifeld Y, Singla N, Lotan Y.</w:t>
      </w:r>
      <w:r>
        <w:t xml:space="preserve"> </w:t>
      </w:r>
      <w:hyperlink r:id="rId248">
        <w:r>
          <w:rPr>
            <w:rStyle w:val="Hyperlink"/>
          </w:rPr>
          <w:t xml:space="preserve">Evaluation of hematuria in a large public health care system</w:t>
        </w:r>
      </w:hyperlink>
      <w:r>
        <w:t xml:space="preserve">. Bladder Cancer. 2019;5(2):119–29.</w:t>
      </w:r>
      <w:r>
        <w:t xml:space="preserve"> </w:t>
      </w:r>
    </w:p>
    <w:bookmarkEnd w:id="249"/>
    <w:bookmarkStart w:id="251" w:name="ref-RN35"/>
    <w:p>
      <w:pPr>
        <w:pStyle w:val="Bibliography"/>
      </w:pPr>
      <w:r>
        <w:t xml:space="preserve">68.</w:t>
      </w:r>
      <w:r>
        <w:t xml:space="preserve"> </w:t>
      </w:r>
      <w:r>
        <w:t xml:space="preserve">	</w:t>
      </w:r>
      <w:r>
        <w:t xml:space="preserve">Barocas DA, Lotan Y, Matulewicz RS, Raman JD, Westerman ME, Kirkby E, et al.</w:t>
      </w:r>
      <w:r>
        <w:t xml:space="preserve"> </w:t>
      </w:r>
      <w:hyperlink r:id="rId250">
        <w:r>
          <w:rPr>
            <w:rStyle w:val="Hyperlink"/>
          </w:rPr>
          <w:t xml:space="preserve">Updates to microhematuria: AUA/SUFU guideline (2025)</w:t>
        </w:r>
      </w:hyperlink>
      <w:r>
        <w:t xml:space="preserve">. J Urol. 2025;213(5):547–57.</w:t>
      </w:r>
      <w:r>
        <w:t xml:space="preserve"> </w:t>
      </w:r>
    </w:p>
    <w:bookmarkEnd w:id="251"/>
    <w:bookmarkStart w:id="253" w:name="ref-RN36"/>
    <w:p>
      <w:pPr>
        <w:pStyle w:val="Bibliography"/>
      </w:pPr>
      <w:r>
        <w:t xml:space="preserve">69.</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52">
        <w:r>
          <w:rPr>
            <w:rStyle w:val="Hyperlink"/>
          </w:rPr>
          <w:t xml:space="preserve">https://doi.org/10.1038/s41389-023-00489-9</w:t>
        </w:r>
      </w:hyperlink>
    </w:p>
    <w:bookmarkEnd w:id="253"/>
    <w:bookmarkStart w:id="255" w:name="ref-RN37"/>
    <w:p>
      <w:pPr>
        <w:pStyle w:val="Bibliography"/>
      </w:pPr>
      <w:r>
        <w:t xml:space="preserve">70.</w:t>
      </w:r>
      <w:r>
        <w:t xml:space="preserve"> </w:t>
      </w:r>
      <w:r>
        <w:t xml:space="preserve">	</w:t>
      </w:r>
      <w:r>
        <w:t xml:space="preserve">Mattern HM, Lloyd PG, Sturek M, Hardin CD.</w:t>
      </w:r>
      <w:r>
        <w:t xml:space="preserve"> </w:t>
      </w:r>
      <w:hyperlink r:id="rId254">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55"/>
    <w:bookmarkStart w:id="257" w:name="ref-RN38"/>
    <w:p>
      <w:pPr>
        <w:pStyle w:val="Bibliography"/>
      </w:pPr>
      <w:r>
        <w:t xml:space="preserve">71.</w:t>
      </w:r>
      <w:r>
        <w:t xml:space="preserve"> </w:t>
      </w:r>
      <w:r>
        <w:t xml:space="preserve">	</w:t>
      </w:r>
      <w:r>
        <w:t xml:space="preserve">Zhang Z, Xu H, Ji J, Shi X, Lyu J, Zhu Y, et al.</w:t>
      </w:r>
      <w:r>
        <w:t xml:space="preserve"> </w:t>
      </w:r>
      <w:hyperlink r:id="rId256">
        <w:r>
          <w:rPr>
            <w:rStyle w:val="Hyperlink"/>
          </w:rPr>
          <w:t xml:space="preserve">Heterogeneity of PTEN and PPAR-γ in cancer and their prognostic application to bladder cancer</w:t>
        </w:r>
      </w:hyperlink>
      <w:r>
        <w:t xml:space="preserve">. Exp Ther Med. 2019;18(4):3177–83.</w:t>
      </w:r>
      <w:r>
        <w:t xml:space="preserve"> </w:t>
      </w:r>
    </w:p>
    <w:bookmarkEnd w:id="257"/>
    <w:bookmarkStart w:id="259" w:name="ref-RN39"/>
    <w:p>
      <w:pPr>
        <w:pStyle w:val="Bibliography"/>
      </w:pPr>
      <w:r>
        <w:t xml:space="preserve">72.</w:t>
      </w:r>
      <w:r>
        <w:t xml:space="preserve"> </w:t>
      </w:r>
      <w:r>
        <w:t xml:space="preserve">	</w:t>
      </w:r>
      <w:r>
        <w:t xml:space="preserve">Stanton BA, Caldwell K, Congdon CB, Disney J, Donahue M, Ferguson E, et al.</w:t>
      </w:r>
      <w:r>
        <w:t xml:space="preserve"> </w:t>
      </w:r>
      <w:hyperlink r:id="rId258">
        <w:r>
          <w:rPr>
            <w:rStyle w:val="Hyperlink"/>
          </w:rPr>
          <w:t xml:space="preserve">MDI biological laboratory arsenic summit: Approaches to limiting human exposure to arsenic</w:t>
        </w:r>
      </w:hyperlink>
      <w:r>
        <w:t xml:space="preserve">. Curr Environ Health Rep. 2015;2(3):329–37.</w:t>
      </w:r>
      <w:r>
        <w:t xml:space="preserve"> </w:t>
      </w:r>
    </w:p>
    <w:bookmarkEnd w:id="259"/>
    <w:bookmarkStart w:id="261" w:name="ref-RN40"/>
    <w:p>
      <w:pPr>
        <w:pStyle w:val="Bibliography"/>
      </w:pPr>
      <w:r>
        <w:t xml:space="preserve">73.</w:t>
      </w:r>
      <w:r>
        <w:t xml:space="preserve"> </w:t>
      </w:r>
      <w:r>
        <w:t xml:space="preserve">	</w:t>
      </w:r>
      <w:r>
        <w:t xml:space="preserve">Yang Q, Flanagan SV, Chillrud S, Ross J, Zeng W, Culbertson C, et al.</w:t>
      </w:r>
      <w:r>
        <w:t xml:space="preserve"> </w:t>
      </w:r>
      <w:hyperlink r:id="rId260">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61"/>
    <w:bookmarkStart w:id="262" w:name="ref-RN41"/>
    <w:p>
      <w:pPr>
        <w:pStyle w:val="Bibliography"/>
      </w:pPr>
      <w:r>
        <w:t xml:space="preserve">74.</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62"/>
    <w:bookmarkStart w:id="264" w:name="ref-RN42"/>
    <w:p>
      <w:pPr>
        <w:pStyle w:val="Bibliography"/>
      </w:pPr>
      <w:r>
        <w:t xml:space="preserve">75.</w:t>
      </w:r>
      <w:r>
        <w:t xml:space="preserve"> </w:t>
      </w:r>
      <w:r>
        <w:t xml:space="preserve">	</w:t>
      </w:r>
      <w:r>
        <w:t xml:space="preserve">Javeid J, Akhtar M, Ahmed L, Hassan W, Ikram M, Iqbal R, et al.</w:t>
      </w:r>
      <w:r>
        <w:t xml:space="preserve"> </w:t>
      </w:r>
      <w:hyperlink r:id="rId263">
        <w:r>
          <w:rPr>
            <w:rStyle w:val="Hyperlink"/>
          </w:rPr>
          <w:t xml:space="preserve">Bladder cancer mortality among smokers: Trends and disparities in u.s. Adults (1999–2023).</w:t>
        </w:r>
      </w:hyperlink>
      <w:r>
        <w:t xml:space="preserve"> Journal of Clinical Oncology. 2025;43.</w:t>
      </w:r>
      <w:r>
        <w:t xml:space="preserve"> </w:t>
      </w:r>
    </w:p>
    <w:bookmarkEnd w:id="264"/>
    <w:bookmarkStart w:id="266" w:name="ref-RN43"/>
    <w:p>
      <w:pPr>
        <w:pStyle w:val="Bibliography"/>
      </w:pPr>
      <w:r>
        <w:t xml:space="preserve">76.</w:t>
      </w:r>
      <w:r>
        <w:t xml:space="preserve"> </w:t>
      </w:r>
      <w:r>
        <w:t xml:space="preserve">	</w:t>
      </w:r>
      <w:r>
        <w:t xml:space="preserve">Lortet-Tieulent J, Goding Sauer A, Siegel RL, Miller KD, Islami F, Fedewa SA, et al.</w:t>
      </w:r>
      <w:r>
        <w:t xml:space="preserve"> </w:t>
      </w:r>
      <w:hyperlink r:id="rId265">
        <w:r>
          <w:rPr>
            <w:rStyle w:val="Hyperlink"/>
          </w:rPr>
          <w:t xml:space="preserve">State-level cancer mortality attributable to cigarette smoking in the united states</w:t>
        </w:r>
      </w:hyperlink>
      <w:r>
        <w:t xml:space="preserve">. JAMA Intern Med. 2016;176(12):1792–8.</w:t>
      </w:r>
      <w:r>
        <w:t xml:space="preserve"> </w:t>
      </w:r>
    </w:p>
    <w:bookmarkEnd w:id="266"/>
    <w:bookmarkStart w:id="268" w:name="ref-RN44"/>
    <w:p>
      <w:pPr>
        <w:pStyle w:val="Bibliography"/>
      </w:pPr>
      <w:r>
        <w:t xml:space="preserve">77.</w:t>
      </w:r>
      <w:r>
        <w:t xml:space="preserve"> </w:t>
      </w:r>
      <w:r>
        <w:t xml:space="preserve">	</w:t>
      </w:r>
      <w:r>
        <w:t xml:space="preserve">Deuker M, Stolzenbach LF, Collà Ruvolo C, Nocera L, Tian Z, Roos FC, et al.</w:t>
      </w:r>
      <w:r>
        <w:t xml:space="preserve"> </w:t>
      </w:r>
      <w:hyperlink r:id="rId267">
        <w:r>
          <w:rPr>
            <w:rStyle w:val="Hyperlink"/>
          </w:rPr>
          <w:t xml:space="preserve">Bladder cancer stage and mortality: Urban vs. Rural residency</w:t>
        </w:r>
      </w:hyperlink>
      <w:r>
        <w:t xml:space="preserve">. Cancer Causes Control. 2021;32(2):139–45.</w:t>
      </w:r>
      <w:r>
        <w:t xml:space="preserve"> </w:t>
      </w:r>
    </w:p>
    <w:bookmarkEnd w:id="268"/>
    <w:bookmarkStart w:id="270" w:name="ref-RN45"/>
    <w:p>
      <w:pPr>
        <w:pStyle w:val="Bibliography"/>
      </w:pPr>
      <w:r>
        <w:t xml:space="preserve">78.</w:t>
      </w:r>
      <w:r>
        <w:t xml:space="preserve"> </w:t>
      </w:r>
      <w:r>
        <w:t xml:space="preserve">	</w:t>
      </w:r>
      <w:r>
        <w:t xml:space="preserve">Dursun F, Elshabrawy A, Wang H, Kaushik D, Liss MA, Svatek RS, et al.</w:t>
      </w:r>
      <w:r>
        <w:t xml:space="preserve"> </w:t>
      </w:r>
      <w:hyperlink r:id="rId269">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70"/>
    <w:bookmarkStart w:id="272" w:name="ref-RN46"/>
    <w:p>
      <w:pPr>
        <w:pStyle w:val="Bibliography"/>
      </w:pPr>
      <w:r>
        <w:t xml:space="preserve">79.</w:t>
      </w:r>
      <w:r>
        <w:t xml:space="preserve"> </w:t>
      </w:r>
      <w:r>
        <w:t xml:space="preserve">	</w:t>
      </w:r>
      <w:r>
        <w:t xml:space="preserve">Ryan S, Serrell EC, Karabon P, Mills G, Hansen M, Hayn M, et al.</w:t>
      </w:r>
      <w:r>
        <w:t xml:space="preserve"> </w:t>
      </w:r>
      <w:hyperlink r:id="rId271">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72"/>
    <w:bookmarkStart w:id="274" w:name="ref-RN47"/>
    <w:p>
      <w:pPr>
        <w:pStyle w:val="Bibliography"/>
      </w:pPr>
      <w:r>
        <w:t xml:space="preserve">80.</w:t>
      </w:r>
      <w:r>
        <w:t xml:space="preserve"> </w:t>
      </w:r>
      <w:r>
        <w:t xml:space="preserve">	</w:t>
      </w:r>
      <w:r>
        <w:t xml:space="preserve">Hung P, Deng S, Zahnd WE, Adams SA, Olatosi B, Crouch EL, et al.</w:t>
      </w:r>
      <w:r>
        <w:t xml:space="preserve"> </w:t>
      </w:r>
      <w:hyperlink r:id="rId273">
        <w:r>
          <w:rPr>
            <w:rStyle w:val="Hyperlink"/>
          </w:rPr>
          <w:t xml:space="preserve">Geographic disparities in residential proximity to colorectal and cervical cancer care providers</w:t>
        </w:r>
      </w:hyperlink>
      <w:r>
        <w:t xml:space="preserve">. Cancer. 2020;126(5):1068–76.</w:t>
      </w:r>
      <w:r>
        <w:t xml:space="preserve"> </w:t>
      </w:r>
    </w:p>
    <w:bookmarkEnd w:id="274"/>
    <w:bookmarkStart w:id="275" w:name="ref-RN48"/>
    <w:p>
      <w:pPr>
        <w:pStyle w:val="Bibliography"/>
      </w:pPr>
      <w:r>
        <w:t xml:space="preserve">81.</w:t>
      </w:r>
      <w:r>
        <w:t xml:space="preserve"> </w:t>
      </w:r>
      <w:r>
        <w:t xml:space="preserve">	</w:t>
      </w:r>
      <w:r>
        <w:t xml:space="preserve">Terlizzi EP, Cohen RA. Geographic variation in health insurance coverage:united states, 2022. Natl Health Stat Report. 2023;(194):1–15.</w:t>
      </w:r>
      <w:r>
        <w:t xml:space="preserve"> </w:t>
      </w:r>
    </w:p>
    <w:bookmarkEnd w:id="275"/>
    <w:bookmarkStart w:id="277" w:name="ref-RN49"/>
    <w:p>
      <w:pPr>
        <w:pStyle w:val="Bibliography"/>
      </w:pPr>
      <w:r>
        <w:t xml:space="preserve">82.</w:t>
      </w:r>
      <w:r>
        <w:t xml:space="preserve"> </w:t>
      </w:r>
      <w:r>
        <w:t xml:space="preserve">	</w:t>
      </w:r>
      <w:r>
        <w:t xml:space="preserve">Wang Y, Chang Q, Li Y.</w:t>
      </w:r>
      <w:r>
        <w:t xml:space="preserve"> </w:t>
      </w:r>
      <w:hyperlink r:id="rId276">
        <w:r>
          <w:rPr>
            <w:rStyle w:val="Hyperlink"/>
          </w:rPr>
          <w:t xml:space="preserve">Racial differences in urinary bladder cancer in the united states</w:t>
        </w:r>
      </w:hyperlink>
      <w:r>
        <w:t xml:space="preserve">. Sci Rep. 2018;8(1):12521.</w:t>
      </w:r>
      <w:r>
        <w:t xml:space="preserve"> </w:t>
      </w:r>
    </w:p>
    <w:bookmarkEnd w:id="277"/>
    <w:bookmarkStart w:id="279" w:name="ref-RN50"/>
    <w:p>
      <w:pPr>
        <w:pStyle w:val="Bibliography"/>
      </w:pPr>
      <w:r>
        <w:t xml:space="preserve">83.</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78">
        <w:r>
          <w:rPr>
            <w:rStyle w:val="Hyperlink"/>
          </w:rPr>
          <w:t xml:space="preserve">https://www.cdc.gov/brfss/brfssprevalence/</w:t>
        </w:r>
      </w:hyperlink>
    </w:p>
    <w:bookmarkEnd w:id="279"/>
    <w:bookmarkStart w:id="280" w:name="ref-RN51"/>
    <w:p>
      <w:pPr>
        <w:pStyle w:val="Bibliography"/>
      </w:pPr>
      <w:r>
        <w:t xml:space="preserve">84.</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80"/>
    <w:bookmarkStart w:id="281" w:name="ref-RN52"/>
    <w:p>
      <w:pPr>
        <w:pStyle w:val="Bibliography"/>
      </w:pPr>
      <w:r>
        <w:t xml:space="preserve">85.</w:t>
      </w:r>
      <w:r>
        <w:t xml:space="preserve"> </w:t>
      </w:r>
      <w:r>
        <w:t xml:space="preserve">	</w:t>
      </w:r>
      <w:r>
        <w:t xml:space="preserve">Yegian JM, Wang G. Affordability in a mandated environment. Am J Manag Care. 2013;19(6):e233–7.</w:t>
      </w:r>
      <w:r>
        <w:t xml:space="preserve"> </w:t>
      </w:r>
    </w:p>
    <w:bookmarkEnd w:id="281"/>
    <w:bookmarkEnd w:id="282"/>
    <w:bookmarkEnd w:id="283"/>
    <w:sectPr w:rsidR="00440FF5" w:rsidSect="00C40AE3">
      <w:pgSz w:h="15840" w:w="12240"/>
      <w:pgMar w:bottom="1440" w:footer="720" w:gutter="0" w:header="720" w:left="1080" w:right="1080" w:top="1440"/>
      <w:lnNumType w:countBy="1" w:restart="continuous"/>
      <w:cols w:space="720"/>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87E564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BDC7BF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F01E5FD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70CD2DE"/>
    <w:multiLevelType w:val="multilevel"/>
    <w:tmpl w:val="2C08B09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51028046" w:numId="1">
    <w:abstractNumId w:val="3"/>
  </w:num>
  <w:num w16cid:durableId="521211694" w:numId="2">
    <w:abstractNumId w:val="0"/>
  </w:num>
  <w:num w16cid:durableId="2073498530" w:numId="3">
    <w:abstractNumId w:val="1"/>
  </w:num>
  <w:num w16cid:durableId="2098557892" w:numId="4">
    <w:abstractNumId w:val="1"/>
  </w:num>
  <w:num w16cid:durableId="1303120967" w:numId="5">
    <w:abstractNumId w:val="1"/>
  </w:num>
  <w:num w16cid:durableId="2040082989" w:numId="6">
    <w:abstractNumId w:val="1"/>
  </w:num>
  <w:num w16cid:durableId="1564753978" w:numId="7">
    <w:abstractNumId w:val="1"/>
  </w:num>
  <w:num w16cid:durableId="706757077"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1476"/>
    <w:rsid w:val="00064FFF"/>
    <w:rsid w:val="000A3504"/>
    <w:rsid w:val="000D1285"/>
    <w:rsid w:val="00131B69"/>
    <w:rsid w:val="00147BB8"/>
    <w:rsid w:val="00181DF9"/>
    <w:rsid w:val="00261A2B"/>
    <w:rsid w:val="0029069C"/>
    <w:rsid w:val="002B1476"/>
    <w:rsid w:val="00440FF5"/>
    <w:rsid w:val="00455969"/>
    <w:rsid w:val="005E6F00"/>
    <w:rsid w:val="007565A7"/>
    <w:rsid w:val="0076149A"/>
    <w:rsid w:val="00820BD8"/>
    <w:rsid w:val="00853256"/>
    <w:rsid w:val="008E4780"/>
    <w:rsid w:val="008F7738"/>
    <w:rsid w:val="009103AD"/>
    <w:rsid w:val="00917F3D"/>
    <w:rsid w:val="00976468"/>
    <w:rsid w:val="00AE0925"/>
    <w:rsid w:val="00B11A03"/>
    <w:rsid w:val="00B70794"/>
    <w:rsid w:val="00C40AE3"/>
    <w:rsid w:val="00C52656"/>
    <w:rsid w:val="00CF67B6"/>
    <w:rsid w:val="00D6760E"/>
    <w:rsid w:val="00D97B1B"/>
    <w:rsid w:val="00EC3BF7"/>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rPr>
      <w:rFonts w:ascii="Calibri" w:hAnsi="Calibri"/>
      <w:sz w:val="28"/>
    </w:rPr>
  </w:style>
  <w:style w:styleId="Heading1" w:type="paragraph">
    <w:name w:val="heading 1"/>
    <w:basedOn w:val="Normal"/>
    <w:next w:val="BodyText"/>
    <w:link w:val="Heading1Char"/>
    <w:uiPriority w:val="9"/>
    <w:qFormat/>
    <w:rsid w:val="00D6760E"/>
    <w:pPr>
      <w:keepNext/>
      <w:keepLines/>
      <w:spacing w:after="80" w:before="360"/>
      <w:outlineLvl w:val="0"/>
    </w:pPr>
    <w:rPr>
      <w:rFonts w:cstheme="majorBidi"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keepLines/>
      <w:spacing w:after="80" w:before="160"/>
      <w:outlineLvl w:val="1"/>
    </w:pPr>
    <w:rPr>
      <w:rFonts w:cstheme="majorBidi"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F67B6"/>
    <w:pPr>
      <w:spacing w:after="180" w:before="180"/>
      <w:jc w:val="both"/>
    </w:pPr>
    <w:rPr>
      <w:color w:themeColor="text1" w:val="000000"/>
    </w:rPr>
  </w:style>
  <w:style w:customStyle="1" w:styleId="FirstParagraph" w:type="paragraph">
    <w:name w:val="First Paragraph"/>
    <w:basedOn w:val="BodyText"/>
    <w:next w:val="BodyText"/>
    <w:qFormat/>
    <w:rsid w:val="00917F3D"/>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7565A7"/>
    <w:pPr>
      <w:spacing w:after="80"/>
      <w:contextualSpacing/>
      <w:jc w:val="both"/>
    </w:pPr>
    <w:rPr>
      <w:rFonts w:cstheme="majorBidi" w:eastAsiaTheme="majorEastAsia"/>
      <w:b/>
      <w:spacing w:val="-10"/>
      <w:kern w:val="28"/>
      <w:sz w:val="40"/>
      <w:szCs w:val="56"/>
    </w:rPr>
  </w:style>
  <w:style w:customStyle="1" w:styleId="TitleChar" w:type="character">
    <w:name w:val="Title Char"/>
    <w:basedOn w:val="DefaultParagraphFont"/>
    <w:link w:val="Title"/>
    <w:uiPriority w:val="10"/>
    <w:rsid w:val="007565A7"/>
    <w:rPr>
      <w:rFonts w:ascii="Calibri" w:cstheme="majorBidi" w:eastAsiaTheme="majorEastAsia" w:hAnsi="Calibri"/>
      <w:b/>
      <w:spacing w:val="-10"/>
      <w:kern w:val="28"/>
      <w:sz w:val="40"/>
      <w:szCs w:val="56"/>
    </w:rPr>
  </w:style>
  <w:style w:styleId="Subtitle" w:type="paragraph">
    <w:name w:val="Subtitle"/>
    <w:basedOn w:val="Normal"/>
    <w:next w:val="BodyText"/>
    <w:link w:val="SubtitleChar"/>
    <w:uiPriority w:val="11"/>
    <w:qFormat/>
    <w:rsid w:val="00D6760E"/>
    <w:pPr>
      <w:numPr>
        <w:ilvl w:val="1"/>
      </w:numPr>
    </w:pPr>
    <w:rPr>
      <w:rFonts w:cstheme="majorBidi" w:eastAsiaTheme="majorEastAsia"/>
      <w:color w:themeColor="text1" w:val="000000"/>
      <w:spacing w:val="15"/>
      <w:szCs w:val="28"/>
    </w:rPr>
  </w:style>
  <w:style w:customStyle="1" w:styleId="SubtitleChar" w:type="character">
    <w:name w:val="Subtitle Char"/>
    <w:basedOn w:val="DefaultParagraphFont"/>
    <w:link w:val="Subtitle"/>
    <w:uiPriority w:val="11"/>
    <w:rsid w:val="00D6760E"/>
    <w:rPr>
      <w:rFonts w:ascii="Calibri" w:cstheme="majorBidi" w:eastAsiaTheme="majorEastAsia" w:hAnsi="Calibri"/>
      <w:color w:themeColor="text1" w:val="000000"/>
      <w:spacing w:val="15"/>
      <w:sz w:val="28"/>
      <w:szCs w:val="28"/>
    </w:rPr>
  </w:style>
  <w:style w:customStyle="1" w:styleId="Author" w:type="paragraph">
    <w:name w:val="Author"/>
    <w:next w:val="BodyText"/>
    <w:qFormat/>
    <w:rsid w:val="00D6760E"/>
    <w:pPr>
      <w:keepNext/>
      <w:keepLines/>
    </w:pPr>
    <w:rPr>
      <w:rFonts w:ascii="Calibri" w:hAnsi="Calibri"/>
      <w:color w:themeColor="text1" w:val="000000"/>
    </w:rPr>
  </w:style>
  <w:style w:styleId="Date" w:type="paragraph">
    <w:name w:val="Date"/>
    <w:next w:val="BodyText"/>
    <w:qFormat/>
    <w:rsid w:val="00D6760E"/>
    <w:pPr>
      <w:keepNext/>
      <w:keepLines/>
    </w:pPr>
    <w:rPr>
      <w:rFonts w:ascii="Calibri" w:hAnsi="Calibri"/>
      <w:color w:themeColor="text1" w:val="000000"/>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rsid w:val="009103AD"/>
    <w:pPr>
      <w:keepNext/>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customStyle="1" w:styleId="Heading1Char" w:type="character">
    <w:name w:val="Heading 1 Char"/>
    <w:basedOn w:val="DefaultParagraphFont"/>
    <w:link w:val="Heading1"/>
    <w:uiPriority w:val="9"/>
    <w:rsid w:val="00D6760E"/>
    <w:rPr>
      <w:rFonts w:ascii="Calibri" w:cstheme="majorBidi" w:eastAsiaTheme="majorEastAsia" w:hAnsi="Calibri"/>
      <w:b/>
      <w:color w:themeColor="text1" w:val="000000"/>
      <w:sz w:val="40"/>
      <w:szCs w:val="40"/>
    </w:rPr>
  </w:style>
  <w:style w:customStyle="1" w:styleId="Heading2Char" w:type="character">
    <w:name w:val="Heading 2 Char"/>
    <w:basedOn w:val="DefaultParagraphFont"/>
    <w:link w:val="Heading2"/>
    <w:uiPriority w:val="9"/>
    <w:rsid w:val="0076149A"/>
    <w:rPr>
      <w:rFonts w:ascii="Calibri" w:cstheme="majorBidi"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76149A"/>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9103AD"/>
    <w:pPr>
      <w:keepNext/>
      <w:keepLines/>
      <w:spacing w:after="0"/>
    </w:pPr>
    <w:rPr>
      <w:b/>
    </w:rPr>
  </w:style>
  <w:style w:customStyle="1" w:styleId="Definition" w:type="paragraph">
    <w:name w:val="Definition"/>
    <w:basedOn w:val="Normal"/>
    <w:rsid w:val="009103AD"/>
  </w:style>
  <w:style w:styleId="Caption" w:type="paragraph">
    <w:name w:val="caption"/>
    <w:basedOn w:val="Normal"/>
    <w:link w:val="CaptionChar"/>
    <w:pPr>
      <w:spacing w:after="120"/>
    </w:pPr>
    <w:rPr>
      <w:i/>
    </w:rPr>
  </w:style>
  <w:style w:customStyle="1" w:styleId="TableCaption" w:type="paragraph">
    <w:name w:val="Table Caption"/>
    <w:basedOn w:val="Caption"/>
    <w:rsid w:val="0076149A"/>
    <w:pPr>
      <w:keepNext/>
    </w:pPr>
  </w:style>
  <w:style w:customStyle="1" w:styleId="ImageCaption" w:type="paragraph">
    <w:name w:val="Image Caption"/>
    <w:basedOn w:val="Caption"/>
    <w:rsid w:val="0076149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81DF9"/>
    <w:rPr>
      <w:rFonts w:ascii="Calibri" w:hAnsi="Calibri"/>
      <w:i/>
      <w:iCs/>
    </w:rPr>
  </w:style>
  <w:style w:customStyle="1" w:styleId="SectionNumber" w:type="character">
    <w:name w:val="Section Number"/>
    <w:basedOn w:val="CaptionChar"/>
  </w:style>
  <w:style w:styleId="FootnoteReference" w:type="character">
    <w:name w:val="footnote reference"/>
    <w:basedOn w:val="CaptionChar"/>
    <w:rsid w:val="0076149A"/>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styleId="LineNumber" w:type="character">
    <w:name w:val="line number"/>
    <w:basedOn w:val="DefaultParagraphFont"/>
    <w:rsid w:val="008E4780"/>
  </w:style>
  <w:style w:customStyle="1" w:styleId="SourceCode" w:type="paragraph">
    <w:name w:val="Source Code"/>
    <w:basedOn w:val="Normal"/>
    <w:link w:val="VerbatimChar"/>
    <w:rsid w:val="00181DF9"/>
    <w:pPr>
      <w:wordWrap w:val="0"/>
      <w:jc w:val="both"/>
    </w:pPr>
    <w:rPr>
      <w:i/>
      <w:iCs/>
      <w:sz w:val="24"/>
    </w:rPr>
  </w:style>
  <w:style w:customStyle="1" w:styleId="KeywordTok" w:type="character">
    <w:name w:val="KeywordTok"/>
    <w:basedOn w:val="VerbatimChar"/>
    <w:rPr>
      <w:rFonts w:ascii="Calibri" w:hAnsi="Calibri"/>
      <w:b/>
      <w:i/>
      <w:iCs/>
      <w:color w:val="003B4F"/>
      <w:shd w:color="auto" w:fill="F1F3F5" w:val="clear"/>
    </w:rPr>
  </w:style>
  <w:style w:customStyle="1" w:styleId="DataTypeTok" w:type="character">
    <w:name w:val="DataTypeTok"/>
    <w:basedOn w:val="VerbatimChar"/>
    <w:rPr>
      <w:rFonts w:ascii="Calibri" w:hAnsi="Calibri"/>
      <w:i/>
      <w:iCs/>
      <w:color w:val="AD0000"/>
      <w:shd w:color="auto" w:fill="F1F3F5" w:val="clear"/>
    </w:rPr>
  </w:style>
  <w:style w:customStyle="1" w:styleId="DecValTok" w:type="character">
    <w:name w:val="DecValTok"/>
    <w:basedOn w:val="VerbatimChar"/>
    <w:rPr>
      <w:rFonts w:ascii="Calibri" w:hAnsi="Calibri"/>
      <w:i/>
      <w:iCs/>
      <w:color w:val="AD0000"/>
      <w:shd w:color="auto" w:fill="F1F3F5" w:val="clear"/>
    </w:rPr>
  </w:style>
  <w:style w:customStyle="1" w:styleId="BaseNTok" w:type="character">
    <w:name w:val="BaseNTok"/>
    <w:basedOn w:val="VerbatimChar"/>
    <w:rPr>
      <w:rFonts w:ascii="Calibri" w:hAnsi="Calibri"/>
      <w:i/>
      <w:iCs/>
      <w:color w:val="AD0000"/>
      <w:shd w:color="auto" w:fill="F1F3F5" w:val="clear"/>
    </w:rPr>
  </w:style>
  <w:style w:customStyle="1" w:styleId="FloatTok" w:type="character">
    <w:name w:val="FloatTok"/>
    <w:basedOn w:val="VerbatimChar"/>
    <w:rPr>
      <w:rFonts w:ascii="Calibri" w:hAnsi="Calibri"/>
      <w:i/>
      <w:iCs/>
      <w:color w:val="AD0000"/>
      <w:shd w:color="auto" w:fill="F1F3F5" w:val="clear"/>
    </w:rPr>
  </w:style>
  <w:style w:customStyle="1" w:styleId="ConstantTok" w:type="character">
    <w:name w:val="ConstantTok"/>
    <w:basedOn w:val="VerbatimChar"/>
    <w:rPr>
      <w:rFonts w:ascii="Calibri" w:hAnsi="Calibri"/>
      <w:i/>
      <w:iCs/>
      <w:color w:val="8F5902"/>
      <w:shd w:color="auto" w:fill="F1F3F5" w:val="clear"/>
    </w:rPr>
  </w:style>
  <w:style w:customStyle="1" w:styleId="CharTok" w:type="character">
    <w:name w:val="CharTok"/>
    <w:basedOn w:val="VerbatimChar"/>
    <w:rPr>
      <w:rFonts w:ascii="Calibri" w:hAnsi="Calibri"/>
      <w:i/>
      <w:iCs/>
      <w:color w:val="20794D"/>
      <w:shd w:color="auto" w:fill="F1F3F5" w:val="clear"/>
    </w:rPr>
  </w:style>
  <w:style w:customStyle="1" w:styleId="SpecialCharTok" w:type="character">
    <w:name w:val="SpecialCharTok"/>
    <w:basedOn w:val="VerbatimChar"/>
    <w:rPr>
      <w:rFonts w:ascii="Calibri" w:hAnsi="Calibri"/>
      <w:i/>
      <w:iCs/>
      <w:color w:val="5E5E5E"/>
      <w:shd w:color="auto" w:fill="F1F3F5" w:val="clear"/>
    </w:rPr>
  </w:style>
  <w:style w:customStyle="1" w:styleId="StringTok" w:type="character">
    <w:name w:val="StringTok"/>
    <w:basedOn w:val="VerbatimChar"/>
    <w:rPr>
      <w:rFonts w:ascii="Calibri" w:hAnsi="Calibri"/>
      <w:i/>
      <w:iCs/>
      <w:color w:val="20794D"/>
      <w:shd w:color="auto" w:fill="F1F3F5" w:val="clear"/>
    </w:rPr>
  </w:style>
  <w:style w:customStyle="1" w:styleId="VerbatimStringTok" w:type="character">
    <w:name w:val="VerbatimStringTok"/>
    <w:basedOn w:val="VerbatimChar"/>
    <w:rPr>
      <w:rFonts w:ascii="Calibri" w:hAnsi="Calibri"/>
      <w:i/>
      <w:iCs/>
      <w:color w:val="20794D"/>
      <w:shd w:color="auto" w:fill="F1F3F5" w:val="clear"/>
    </w:rPr>
  </w:style>
  <w:style w:customStyle="1" w:styleId="SpecialStringTok" w:type="character">
    <w:name w:val="SpecialStringTok"/>
    <w:basedOn w:val="VerbatimChar"/>
    <w:rPr>
      <w:rFonts w:ascii="Calibri" w:hAnsi="Calibri"/>
      <w:i/>
      <w:iCs/>
      <w:color w:val="20794D"/>
      <w:shd w:color="auto" w:fill="F1F3F5" w:val="clear"/>
    </w:rPr>
  </w:style>
  <w:style w:customStyle="1" w:styleId="ImportTok" w:type="character">
    <w:name w:val="ImportTok"/>
    <w:basedOn w:val="VerbatimChar"/>
    <w:rPr>
      <w:rFonts w:ascii="Calibri" w:hAnsi="Calibri"/>
      <w:i/>
      <w:iCs/>
      <w:color w:val="00769E"/>
      <w:shd w:color="auto" w:fill="F1F3F5" w:val="clear"/>
    </w:rPr>
  </w:style>
  <w:style w:customStyle="1" w:styleId="CommentTok" w:type="character">
    <w:name w:val="CommentTok"/>
    <w:basedOn w:val="VerbatimChar"/>
    <w:rPr>
      <w:rFonts w:ascii="Calibri" w:hAnsi="Calibri"/>
      <w:i/>
      <w:iCs/>
      <w:color w:val="5E5E5E"/>
      <w:shd w:color="auto" w:fill="F1F3F5" w:val="clear"/>
    </w:rPr>
  </w:style>
  <w:style w:customStyle="1" w:styleId="DocumentationTok" w:type="character">
    <w:name w:val="DocumentationTok"/>
    <w:basedOn w:val="VerbatimChar"/>
    <w:rPr>
      <w:rFonts w:ascii="Calibri" w:hAnsi="Calibri"/>
      <w:i w:val="0"/>
      <w:iCs/>
      <w:color w:val="5E5E5E"/>
      <w:shd w:color="auto" w:fill="F1F3F5" w:val="clear"/>
    </w:rPr>
  </w:style>
  <w:style w:customStyle="1" w:styleId="AnnotationTok" w:type="character">
    <w:name w:val="AnnotationTok"/>
    <w:basedOn w:val="VerbatimChar"/>
    <w:rPr>
      <w:rFonts w:ascii="Calibri" w:hAnsi="Calibri"/>
      <w:i/>
      <w:iCs/>
      <w:color w:val="5E5E5E"/>
      <w:shd w:color="auto" w:fill="F1F3F5" w:val="clear"/>
    </w:rPr>
  </w:style>
  <w:style w:customStyle="1" w:styleId="CommentVarTok" w:type="character">
    <w:name w:val="CommentVarTok"/>
    <w:basedOn w:val="VerbatimChar"/>
    <w:rPr>
      <w:rFonts w:ascii="Calibri" w:hAnsi="Calibri"/>
      <w:i w:val="0"/>
      <w:iCs/>
      <w:color w:val="5E5E5E"/>
      <w:shd w:color="auto" w:fill="F1F3F5" w:val="clear"/>
    </w:rPr>
  </w:style>
  <w:style w:customStyle="1" w:styleId="OtherTok" w:type="character">
    <w:name w:val="OtherTok"/>
    <w:basedOn w:val="VerbatimChar"/>
    <w:rPr>
      <w:rFonts w:ascii="Calibri" w:hAnsi="Calibri"/>
      <w:i/>
      <w:iCs/>
      <w:color w:val="003B4F"/>
      <w:shd w:color="auto" w:fill="F1F3F5" w:val="clear"/>
    </w:rPr>
  </w:style>
  <w:style w:customStyle="1" w:styleId="FunctionTok" w:type="character">
    <w:name w:val="FunctionTok"/>
    <w:basedOn w:val="VerbatimChar"/>
    <w:rPr>
      <w:rFonts w:ascii="Calibri" w:hAnsi="Calibri"/>
      <w:i/>
      <w:iCs/>
      <w:color w:val="4758AB"/>
      <w:shd w:color="auto" w:fill="F1F3F5" w:val="clear"/>
    </w:rPr>
  </w:style>
  <w:style w:customStyle="1" w:styleId="VariableTok" w:type="character">
    <w:name w:val="VariableTok"/>
    <w:basedOn w:val="VerbatimChar"/>
    <w:rPr>
      <w:rFonts w:ascii="Calibri" w:hAnsi="Calibri"/>
      <w:i/>
      <w:iCs/>
      <w:color w:val="111111"/>
      <w:shd w:color="auto" w:fill="F1F3F5" w:val="clear"/>
    </w:rPr>
  </w:style>
  <w:style w:customStyle="1" w:styleId="ControlFlowTok" w:type="character">
    <w:name w:val="ControlFlowTok"/>
    <w:basedOn w:val="VerbatimChar"/>
    <w:rPr>
      <w:rFonts w:ascii="Calibri" w:hAnsi="Calibri"/>
      <w:b/>
      <w:i/>
      <w:iCs/>
      <w:color w:val="003B4F"/>
      <w:shd w:color="auto" w:fill="F1F3F5" w:val="clear"/>
    </w:rPr>
  </w:style>
  <w:style w:customStyle="1" w:styleId="OperatorTok" w:type="character">
    <w:name w:val="OperatorTok"/>
    <w:basedOn w:val="VerbatimChar"/>
    <w:rPr>
      <w:rFonts w:ascii="Calibri" w:hAnsi="Calibri"/>
      <w:i/>
      <w:iCs/>
      <w:color w:val="5E5E5E"/>
      <w:shd w:color="auto" w:fill="F1F3F5" w:val="clear"/>
    </w:rPr>
  </w:style>
  <w:style w:customStyle="1" w:styleId="BuiltInTok" w:type="character">
    <w:name w:val="BuiltInTok"/>
    <w:basedOn w:val="VerbatimChar"/>
    <w:rPr>
      <w:rFonts w:ascii="Calibri" w:hAnsi="Calibri"/>
      <w:i/>
      <w:iCs/>
      <w:color w:val="003B4F"/>
      <w:shd w:color="auto" w:fill="F1F3F5" w:val="clear"/>
    </w:rPr>
  </w:style>
  <w:style w:customStyle="1" w:styleId="ExtensionTok" w:type="character">
    <w:name w:val="ExtensionTok"/>
    <w:basedOn w:val="VerbatimChar"/>
    <w:rPr>
      <w:rFonts w:ascii="Calibri" w:hAnsi="Calibri"/>
      <w:i/>
      <w:iCs/>
      <w:color w:val="003B4F"/>
      <w:shd w:color="auto" w:fill="F1F3F5" w:val="clear"/>
    </w:rPr>
  </w:style>
  <w:style w:customStyle="1" w:styleId="PreprocessorTok" w:type="character">
    <w:name w:val="PreprocessorTok"/>
    <w:basedOn w:val="VerbatimChar"/>
    <w:rPr>
      <w:rFonts w:ascii="Calibri" w:hAnsi="Calibri"/>
      <w:i/>
      <w:iCs/>
      <w:color w:val="AD0000"/>
      <w:shd w:color="auto" w:fill="F1F3F5" w:val="clear"/>
    </w:rPr>
  </w:style>
  <w:style w:customStyle="1" w:styleId="AttributeTok" w:type="character">
    <w:name w:val="AttributeTok"/>
    <w:basedOn w:val="VerbatimChar"/>
    <w:rPr>
      <w:rFonts w:ascii="Calibri" w:hAnsi="Calibri"/>
      <w:i/>
      <w:iCs/>
      <w:color w:val="657422"/>
      <w:shd w:color="auto" w:fill="F1F3F5" w:val="clear"/>
    </w:rPr>
  </w:style>
  <w:style w:customStyle="1" w:styleId="RegionMarkerTok" w:type="character">
    <w:name w:val="RegionMarkerTok"/>
    <w:basedOn w:val="VerbatimChar"/>
    <w:rPr>
      <w:rFonts w:ascii="Calibri" w:hAnsi="Calibri"/>
      <w:i/>
      <w:iCs/>
      <w:color w:val="003B4F"/>
      <w:shd w:color="auto" w:fill="F1F3F5" w:val="clear"/>
    </w:rPr>
  </w:style>
  <w:style w:customStyle="1" w:styleId="InformationTok" w:type="character">
    <w:name w:val="InformationTok"/>
    <w:basedOn w:val="VerbatimChar"/>
    <w:rPr>
      <w:rFonts w:ascii="Calibri" w:hAnsi="Calibri"/>
      <w:i/>
      <w:iCs/>
      <w:color w:val="5E5E5E"/>
      <w:shd w:color="auto" w:fill="F1F3F5" w:val="clear"/>
    </w:rPr>
  </w:style>
  <w:style w:customStyle="1" w:styleId="WarningTok" w:type="character">
    <w:name w:val="WarningTok"/>
    <w:basedOn w:val="VerbatimChar"/>
    <w:rPr>
      <w:rFonts w:ascii="Calibri" w:hAnsi="Calibri"/>
      <w:i w:val="0"/>
      <w:iCs/>
      <w:color w:val="5E5E5E"/>
      <w:shd w:color="auto" w:fill="F1F3F5" w:val="clear"/>
    </w:rPr>
  </w:style>
  <w:style w:customStyle="1" w:styleId="AlertTok" w:type="character">
    <w:name w:val="AlertTok"/>
    <w:basedOn w:val="VerbatimChar"/>
    <w:rPr>
      <w:rFonts w:ascii="Calibri" w:hAnsi="Calibri"/>
      <w:i/>
      <w:iCs/>
      <w:color w:val="AD0000"/>
      <w:shd w:color="auto" w:fill="F1F3F5" w:val="clear"/>
    </w:rPr>
  </w:style>
  <w:style w:customStyle="1" w:styleId="ErrorTok" w:type="character">
    <w:name w:val="ErrorTok"/>
    <w:basedOn w:val="VerbatimChar"/>
    <w:rPr>
      <w:rFonts w:ascii="Calibri" w:hAnsi="Calibri"/>
      <w:i/>
      <w:iCs/>
      <w:color w:val="AD0000"/>
      <w:shd w:color="auto" w:fill="F1F3F5" w:val="clear"/>
    </w:rPr>
  </w:style>
  <w:style w:customStyle="1" w:styleId="NormalTok" w:type="character">
    <w:name w:val="NormalTok"/>
    <w:basedOn w:val="VerbatimChar"/>
    <w:rPr>
      <w:rFonts w:ascii="Calibri" w:hAnsi="Calibri"/>
      <w:i/>
      <w:iCs/>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svg" /><Relationship Type="http://schemas.openxmlformats.org/officeDocument/2006/relationships/image" Id="rId92" Target="media/rId92.svg" /><Relationship Type="http://schemas.openxmlformats.org/officeDocument/2006/relationships/image" Id="rId76" Target="media/rId76.svg" /><Relationship Type="http://schemas.openxmlformats.org/officeDocument/2006/relationships/image" Id="rId72" Target="media/rId72.svg" /><Relationship Type="http://schemas.openxmlformats.org/officeDocument/2006/relationships/image" Id="rId84" Target="media/rId84.svg" /><Relationship Type="http://schemas.openxmlformats.org/officeDocument/2006/relationships/image" Id="rId88" Target="media/rId88.svg" /><Relationship Type="http://schemas.openxmlformats.org/officeDocument/2006/relationships/image" Id="rId99" Target="media/rId99.svg" /><Relationship Type="http://schemas.openxmlformats.org/officeDocument/2006/relationships/image" Id="rId52" Target="media/rId52.svg" /><Relationship Type="http://schemas.openxmlformats.org/officeDocument/2006/relationships/image" Id="rId64" Target="media/rId64.svg" /><Relationship Type="http://schemas.openxmlformats.org/officeDocument/2006/relationships/image" Id="rId48" Target="media/rId48.svg" /><Relationship Type="http://schemas.openxmlformats.org/officeDocument/2006/relationships/image" Id="rId44" Target="media/rId44.svg" /><Relationship Type="http://schemas.openxmlformats.org/officeDocument/2006/relationships/image" Id="rId56" Target="media/rId56.svg" /><Relationship Type="http://schemas.openxmlformats.org/officeDocument/2006/relationships/image" Id="rId60" Target="media/rId60.svg" /><Relationship Type="http://schemas.openxmlformats.org/officeDocument/2006/relationships/image" Id="rId36" Target="media/rId36.svg" /><Relationship Type="http://schemas.openxmlformats.org/officeDocument/2006/relationships/image" Id="rId40" Target="media/rId40.svg" /><Relationship Type="http://schemas.openxmlformats.org/officeDocument/2006/relationships/hyperlink" Id="rId109" Target="" TargetMode="External" /><Relationship Type="http://schemas.openxmlformats.org/officeDocument/2006/relationships/hyperlink" Id="rId106" Target="@sup-apc" TargetMode="External" /><Relationship Type="http://schemas.openxmlformats.org/officeDocument/2006/relationships/hyperlink" Id="rId105" Target="@sup-geofacet" TargetMode="External" /><Relationship Type="http://schemas.openxmlformats.org/officeDocument/2006/relationships/hyperlink" Id="rId163" Target="http://dx.doi.org/10.1016/S0140-6736(24)00757-8" TargetMode="External" /><Relationship Type="http://schemas.openxmlformats.org/officeDocument/2006/relationships/hyperlink" Id="rId165" Target="http://dx.doi.org/10.1016/s0140-6736(24)00367-2" TargetMode="External" /><Relationship Type="http://schemas.openxmlformats.org/officeDocument/2006/relationships/hyperlink" Id="rId167" Target="http://dx.doi.org/10.1016/s1474-4422(21)00252-0" TargetMode="External" /><Relationship Type="http://schemas.openxmlformats.org/officeDocument/2006/relationships/hyperlink" Id="rId115" Target="http://ghdx.healthdata.org/gbd-results-tool" TargetMode="External" /><Relationship Type="http://schemas.openxmlformats.org/officeDocument/2006/relationships/hyperlink" Id="rId198" Target="https://CRAN.R-project.org/package=arrow" TargetMode="External" /><Relationship Type="http://schemas.openxmlformats.org/officeDocument/2006/relationships/hyperlink" Id="rId178" Target="https://CRAN.R-project.org/package=beepr" TargetMode="External" /><Relationship Type="http://schemas.openxmlformats.org/officeDocument/2006/relationships/hyperlink" Id="rId202" Target="https://CRAN.R-project.org/package=bslib" TargetMode="External" /><Relationship Type="http://schemas.openxmlformats.org/officeDocument/2006/relationships/hyperlink" Id="rId190" Target="https://CRAN.R-project.org/package=camcorder" TargetMode="External" /><Relationship Type="http://schemas.openxmlformats.org/officeDocument/2006/relationships/hyperlink" Id="rId212" Target="https://CRAN.R-project.org/package=dplyr" TargetMode="External" /><Relationship Type="http://schemas.openxmlformats.org/officeDocument/2006/relationships/hyperlink" Id="rId206" Target="https://CRAN.R-project.org/package=furrr" TargetMode="External" /><Relationship Type="http://schemas.openxmlformats.org/officeDocument/2006/relationships/hyperlink" Id="rId186" Target="https://CRAN.R-project.org/package=geofacet" TargetMode="External" /><Relationship Type="http://schemas.openxmlformats.org/officeDocument/2006/relationships/hyperlink" Id="rId196" Target="https://CRAN.R-project.org/package=gganimate" TargetMode="External" /><Relationship Type="http://schemas.openxmlformats.org/officeDocument/2006/relationships/hyperlink" Id="rId204" Target="https://CRAN.R-project.org/package=ggbump" TargetMode="External" /><Relationship Type="http://schemas.openxmlformats.org/officeDocument/2006/relationships/hyperlink" Id="rId180" Target="https://CRAN.R-project.org/package=ggnewscale" TargetMode="External" /><Relationship Type="http://schemas.openxmlformats.org/officeDocument/2006/relationships/hyperlink" Id="rId216" Target="https://CRAN.R-project.org/package=ggtext" TargetMode="External" /><Relationship Type="http://schemas.openxmlformats.org/officeDocument/2006/relationships/hyperlink" Id="rId188" Target="https://CRAN.R-project.org/package=glue" TargetMode="External" /><Relationship Type="http://schemas.openxmlformats.org/officeDocument/2006/relationships/hyperlink" Id="rId184" Target="https://CRAN.R-project.org/package=officer" TargetMode="External" /><Relationship Type="http://schemas.openxmlformats.org/officeDocument/2006/relationships/hyperlink" Id="rId174" Target="https://CRAN.R-project.org/package=rsconnect" TargetMode="External" /><Relationship Type="http://schemas.openxmlformats.org/officeDocument/2006/relationships/hyperlink" Id="rId214" Target="https://CRAN.R-project.org/package=scales" TargetMode="External" /><Relationship Type="http://schemas.openxmlformats.org/officeDocument/2006/relationships/hyperlink" Id="rId182" Target="https://CRAN.R-project.org/package=shiny" TargetMode="External" /><Relationship Type="http://schemas.openxmlformats.org/officeDocument/2006/relationships/hyperlink" Id="rId176" Target="https://CRAN.R-project.org/package=shinyjs" TargetMode="External" /><Relationship Type="http://schemas.openxmlformats.org/officeDocument/2006/relationships/hyperlink" Id="rId194" Target="https://CRAN.R-project.org/package=tibble" TargetMode="External" /><Relationship Type="http://schemas.openxmlformats.org/officeDocument/2006/relationships/hyperlink" Id="rId221" Target="https://bookdown.org/yihui/rmarkdown" TargetMode="External" /><Relationship Type="http://schemas.openxmlformats.org/officeDocument/2006/relationships/hyperlink" Id="rId223" Target="https://bookdown.org/yihui/rmarkdown-cookbook" TargetMode="External" /><Relationship Type="http://schemas.openxmlformats.org/officeDocument/2006/relationships/hyperlink" Id="rId226"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65"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44" Target="https://doi.org/10.1002/cncr.28416" TargetMode="External" /><Relationship Type="http://schemas.openxmlformats.org/officeDocument/2006/relationships/hyperlink" Id="rId273" Target="https://doi.org/10.1002/cncr.32594" TargetMode="External" /><Relationship Type="http://schemas.openxmlformats.org/officeDocument/2006/relationships/hyperlink" Id="rId238" Target="https://doi.org/10.1002/ijc.10332" TargetMode="External" /><Relationship Type="http://schemas.openxmlformats.org/officeDocument/2006/relationships/hyperlink" Id="rId267" Target="https://doi.org/10.1007/s10552-020-01366-1" TargetMode="External" /><Relationship Type="http://schemas.openxmlformats.org/officeDocument/2006/relationships/hyperlink" Id="rId236" Target="https://doi.org/10.1007/s10654-016-0138-6" TargetMode="External" /><Relationship Type="http://schemas.openxmlformats.org/officeDocument/2006/relationships/hyperlink" Id="rId254"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8"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71"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60" Target="https://doi.org/10.1016/j.scitotenv.2020.139683" TargetMode="External" /><Relationship Type="http://schemas.openxmlformats.org/officeDocument/2006/relationships/hyperlink" Id="rId242" Target="https://doi.org/10.1016/j.urolonc.2009.07.020" TargetMode="External" /><Relationship Type="http://schemas.openxmlformats.org/officeDocument/2006/relationships/hyperlink" Id="rId252" Target="https://doi.org/10.1038/s41389-023-00489-9" TargetMode="External" /><Relationship Type="http://schemas.openxmlformats.org/officeDocument/2006/relationships/hyperlink" Id="rId246" Target="https://doi.org/10.1038/s41585-023-00806-2" TargetMode="External" /><Relationship Type="http://schemas.openxmlformats.org/officeDocument/2006/relationships/hyperlink" Id="rId230" Target="https://doi.org/10.1038/s41598-018-19199-z" TargetMode="External" /><Relationship Type="http://schemas.openxmlformats.org/officeDocument/2006/relationships/hyperlink" Id="rId276"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50"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32" Target="https://doi.org/10.1186/s40779-024-00569-w" TargetMode="External" /><Relationship Type="http://schemas.openxmlformats.org/officeDocument/2006/relationships/hyperlink" Id="rId263"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10" Target="https://doi.org/10.21105/joss.01686" TargetMode="External" /><Relationship Type="http://schemas.openxmlformats.org/officeDocument/2006/relationships/hyperlink" Id="rId248"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200"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6" Target="https://doi.org/10.3892/etm.2019.7879" TargetMode="External" /><Relationship Type="http://schemas.openxmlformats.org/officeDocument/2006/relationships/hyperlink" Id="rId269" Target="https://doi.org/10.4111/icu.20230125" TargetMode="External" /><Relationship Type="http://schemas.openxmlformats.org/officeDocument/2006/relationships/hyperlink" Id="rId240" Target="https://doi.org/10.7759/cureus.27330" TargetMode="External" /><Relationship Type="http://schemas.openxmlformats.org/officeDocument/2006/relationships/hyperlink" Id="rId208" Target="https://ggplot2.tidyverse.org" TargetMode="External" /><Relationship Type="http://schemas.openxmlformats.org/officeDocument/2006/relationships/hyperlink" Id="rId169" Target="https://ghdx.healthdata.org/node/548352" TargetMode="External" /><Relationship Type="http://schemas.openxmlformats.org/officeDocument/2006/relationships/hyperlink" Id="rId192" Target="https://github.com/EmilHvitfeldt/paletteer" TargetMode="External" /><Relationship Type="http://schemas.openxmlformats.org/officeDocument/2006/relationships/hyperlink" Id="rId116" Target="https://github.com/alireza5969/gbd-bladder-cance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110" Target="https://github.com/alireza5969/gbd-bladder-cancer/tree/main/output/figures/Bump%20plot" TargetMode="External" /><Relationship Type="http://schemas.openxmlformats.org/officeDocument/2006/relationships/hyperlink" Id="rId9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71"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8" Target="https://www.cdc.gov/brfss/brfssprevalence/" TargetMode="External" /><Relationship Type="http://schemas.openxmlformats.org/officeDocument/2006/relationships/hyperlink" Id="rId234" Target="https://www.ncbi.nlm.nih.gov/books/NBK53914/" TargetMode="External" /><Relationship Type="http://schemas.openxmlformats.org/officeDocument/2006/relationships/hyperlink" Id="rId228"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9"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109" Target="" TargetMode="External" /><Relationship Type="http://schemas.openxmlformats.org/officeDocument/2006/relationships/hyperlink" Id="rId106" Target="@sup-apc" TargetMode="External" /><Relationship Type="http://schemas.openxmlformats.org/officeDocument/2006/relationships/hyperlink" Id="rId105" Target="@sup-geofacet" TargetMode="External" /><Relationship Type="http://schemas.openxmlformats.org/officeDocument/2006/relationships/hyperlink" Id="rId163" Target="http://dx.doi.org/10.1016/S0140-6736(24)00757-8" TargetMode="External" /><Relationship Type="http://schemas.openxmlformats.org/officeDocument/2006/relationships/hyperlink" Id="rId165" Target="http://dx.doi.org/10.1016/s0140-6736(24)00367-2" TargetMode="External" /><Relationship Type="http://schemas.openxmlformats.org/officeDocument/2006/relationships/hyperlink" Id="rId167" Target="http://dx.doi.org/10.1016/s1474-4422(21)00252-0" TargetMode="External" /><Relationship Type="http://schemas.openxmlformats.org/officeDocument/2006/relationships/hyperlink" Id="rId115" Target="http://ghdx.healthdata.org/gbd-results-tool" TargetMode="External" /><Relationship Type="http://schemas.openxmlformats.org/officeDocument/2006/relationships/hyperlink" Id="rId198" Target="https://CRAN.R-project.org/package=arrow" TargetMode="External" /><Relationship Type="http://schemas.openxmlformats.org/officeDocument/2006/relationships/hyperlink" Id="rId178" Target="https://CRAN.R-project.org/package=beepr" TargetMode="External" /><Relationship Type="http://schemas.openxmlformats.org/officeDocument/2006/relationships/hyperlink" Id="rId202" Target="https://CRAN.R-project.org/package=bslib" TargetMode="External" /><Relationship Type="http://schemas.openxmlformats.org/officeDocument/2006/relationships/hyperlink" Id="rId190" Target="https://CRAN.R-project.org/package=camcorder" TargetMode="External" /><Relationship Type="http://schemas.openxmlformats.org/officeDocument/2006/relationships/hyperlink" Id="rId212" Target="https://CRAN.R-project.org/package=dplyr" TargetMode="External" /><Relationship Type="http://schemas.openxmlformats.org/officeDocument/2006/relationships/hyperlink" Id="rId206" Target="https://CRAN.R-project.org/package=furrr" TargetMode="External" /><Relationship Type="http://schemas.openxmlformats.org/officeDocument/2006/relationships/hyperlink" Id="rId186" Target="https://CRAN.R-project.org/package=geofacet" TargetMode="External" /><Relationship Type="http://schemas.openxmlformats.org/officeDocument/2006/relationships/hyperlink" Id="rId196" Target="https://CRAN.R-project.org/package=gganimate" TargetMode="External" /><Relationship Type="http://schemas.openxmlformats.org/officeDocument/2006/relationships/hyperlink" Id="rId204" Target="https://CRAN.R-project.org/package=ggbump" TargetMode="External" /><Relationship Type="http://schemas.openxmlformats.org/officeDocument/2006/relationships/hyperlink" Id="rId180" Target="https://CRAN.R-project.org/package=ggnewscale" TargetMode="External" /><Relationship Type="http://schemas.openxmlformats.org/officeDocument/2006/relationships/hyperlink" Id="rId216" Target="https://CRAN.R-project.org/package=ggtext" TargetMode="External" /><Relationship Type="http://schemas.openxmlformats.org/officeDocument/2006/relationships/hyperlink" Id="rId188" Target="https://CRAN.R-project.org/package=glue" TargetMode="External" /><Relationship Type="http://schemas.openxmlformats.org/officeDocument/2006/relationships/hyperlink" Id="rId184" Target="https://CRAN.R-project.org/package=officer" TargetMode="External" /><Relationship Type="http://schemas.openxmlformats.org/officeDocument/2006/relationships/hyperlink" Id="rId174" Target="https://CRAN.R-project.org/package=rsconnect" TargetMode="External" /><Relationship Type="http://schemas.openxmlformats.org/officeDocument/2006/relationships/hyperlink" Id="rId214" Target="https://CRAN.R-project.org/package=scales" TargetMode="External" /><Relationship Type="http://schemas.openxmlformats.org/officeDocument/2006/relationships/hyperlink" Id="rId182" Target="https://CRAN.R-project.org/package=shiny" TargetMode="External" /><Relationship Type="http://schemas.openxmlformats.org/officeDocument/2006/relationships/hyperlink" Id="rId176" Target="https://CRAN.R-project.org/package=shinyjs" TargetMode="External" /><Relationship Type="http://schemas.openxmlformats.org/officeDocument/2006/relationships/hyperlink" Id="rId194" Target="https://CRAN.R-project.org/package=tibble" TargetMode="External" /><Relationship Type="http://schemas.openxmlformats.org/officeDocument/2006/relationships/hyperlink" Id="rId221" Target="https://bookdown.org/yihui/rmarkdown" TargetMode="External" /><Relationship Type="http://schemas.openxmlformats.org/officeDocument/2006/relationships/hyperlink" Id="rId223" Target="https://bookdown.org/yihui/rmarkdown-cookbook" TargetMode="External" /><Relationship Type="http://schemas.openxmlformats.org/officeDocument/2006/relationships/hyperlink" Id="rId226" Target="https://data.worldbank.org/indicator/SH.XPD.CHEX.PP.CD" TargetMode="External" /><Relationship Type="http://schemas.openxmlformats.org/officeDocument/2006/relationships/hyperlink" Id="rId134" Target="https://doi.org/10.1001/jama.2011.1142" TargetMode="External" /><Relationship Type="http://schemas.openxmlformats.org/officeDocument/2006/relationships/hyperlink" Id="rId265" Target="https://doi.org/10.1001/jamainternmed.2016.6530" TargetMode="External" /><Relationship Type="http://schemas.openxmlformats.org/officeDocument/2006/relationships/hyperlink" Id="rId157" Target="https://doi.org/10.1002/cam4.4917" TargetMode="External" /><Relationship Type="http://schemas.openxmlformats.org/officeDocument/2006/relationships/hyperlink" Id="rId244" Target="https://doi.org/10.1002/cncr.28416" TargetMode="External" /><Relationship Type="http://schemas.openxmlformats.org/officeDocument/2006/relationships/hyperlink" Id="rId273" Target="https://doi.org/10.1002/cncr.32594" TargetMode="External" /><Relationship Type="http://schemas.openxmlformats.org/officeDocument/2006/relationships/hyperlink" Id="rId238" Target="https://doi.org/10.1002/ijc.10332" TargetMode="External" /><Relationship Type="http://schemas.openxmlformats.org/officeDocument/2006/relationships/hyperlink" Id="rId267" Target="https://doi.org/10.1007/s10552-020-01366-1" TargetMode="External" /><Relationship Type="http://schemas.openxmlformats.org/officeDocument/2006/relationships/hyperlink" Id="rId236" Target="https://doi.org/10.1007/s10654-016-0138-6" TargetMode="External" /><Relationship Type="http://schemas.openxmlformats.org/officeDocument/2006/relationships/hyperlink" Id="rId254" Target="https://doi.org/10.1007/s11010-007-9423-8" TargetMode="External" /><Relationship Type="http://schemas.openxmlformats.org/officeDocument/2006/relationships/hyperlink" Id="rId161" Target="https://doi.org/10.1007/s11255-015-0980-6" TargetMode="External" /><Relationship Type="http://schemas.openxmlformats.org/officeDocument/2006/relationships/hyperlink" Id="rId130" Target="https://doi.org/10.1007/s40273-023-01273-8" TargetMode="External" /><Relationship Type="http://schemas.openxmlformats.org/officeDocument/2006/relationships/hyperlink" Id="rId258" Target="https://doi.org/10.1007/s40572-015-0057-9" TargetMode="External" /><Relationship Type="http://schemas.openxmlformats.org/officeDocument/2006/relationships/hyperlink" Id="rId128" Target="https://doi.org/10.1016/j.eururo.2014.01.006" TargetMode="External" /><Relationship Type="http://schemas.openxmlformats.org/officeDocument/2006/relationships/hyperlink" Id="rId149" Target="https://doi.org/10.1016/j.eururo.2022.11.023" TargetMode="External" /><Relationship Type="http://schemas.openxmlformats.org/officeDocument/2006/relationships/hyperlink" Id="rId136" Target="https://doi.org/10.1016/j.eururo.2023.03.029" TargetMode="External" /><Relationship Type="http://schemas.openxmlformats.org/officeDocument/2006/relationships/hyperlink" Id="rId151" Target="https://doi.org/10.1016/j.juro.2015.07.091" TargetMode="External" /><Relationship Type="http://schemas.openxmlformats.org/officeDocument/2006/relationships/hyperlink" Id="rId271" Target="https://doi.org/10.1016/j.juro.2017.10.011" TargetMode="External" /><Relationship Type="http://schemas.openxmlformats.org/officeDocument/2006/relationships/hyperlink" Id="rId145" Target="https://doi.org/10.1016/j.scitotenv.2019.03.290" TargetMode="External" /><Relationship Type="http://schemas.openxmlformats.org/officeDocument/2006/relationships/hyperlink" Id="rId260" Target="https://doi.org/10.1016/j.scitotenv.2020.139683" TargetMode="External" /><Relationship Type="http://schemas.openxmlformats.org/officeDocument/2006/relationships/hyperlink" Id="rId242" Target="https://doi.org/10.1016/j.urolonc.2009.07.020" TargetMode="External" /><Relationship Type="http://schemas.openxmlformats.org/officeDocument/2006/relationships/hyperlink" Id="rId252" Target="https://doi.org/10.1038/s41389-023-00489-9" TargetMode="External" /><Relationship Type="http://schemas.openxmlformats.org/officeDocument/2006/relationships/hyperlink" Id="rId246" Target="https://doi.org/10.1038/s41585-023-00806-2" TargetMode="External" /><Relationship Type="http://schemas.openxmlformats.org/officeDocument/2006/relationships/hyperlink" Id="rId230" Target="https://doi.org/10.1038/s41598-018-19199-z" TargetMode="External" /><Relationship Type="http://schemas.openxmlformats.org/officeDocument/2006/relationships/hyperlink" Id="rId276" Target="https://doi.org/10.1038/s41598-018-29987-2" TargetMode="External" /><Relationship Type="http://schemas.openxmlformats.org/officeDocument/2006/relationships/hyperlink" Id="rId124" Target="https://doi.org/10.1038/s41598-025-92033-5" TargetMode="External" /><Relationship Type="http://schemas.openxmlformats.org/officeDocument/2006/relationships/hyperlink" Id="rId141" Target="https://doi.org/10.1093/jnci/djw099" TargetMode="External" /><Relationship Type="http://schemas.openxmlformats.org/officeDocument/2006/relationships/hyperlink" Id="rId250" Target="https://doi.org/10.1097/ju.0000000000004490" TargetMode="External" /><Relationship Type="http://schemas.openxmlformats.org/officeDocument/2006/relationships/hyperlink" Id="rId126" Target="https://doi.org/10.1097/mou.0000000000000078" TargetMode="External" /><Relationship Type="http://schemas.openxmlformats.org/officeDocument/2006/relationships/hyperlink" Id="rId139" Target="https://doi.org/10.1186/s13690-025-01585-5" TargetMode="External" /><Relationship Type="http://schemas.openxmlformats.org/officeDocument/2006/relationships/hyperlink" Id="rId232" Target="https://doi.org/10.1186/s40779-024-00569-w" TargetMode="External" /><Relationship Type="http://schemas.openxmlformats.org/officeDocument/2006/relationships/hyperlink" Id="rId263" Target="https://doi.org/10.1200/JCO.2025.43.16_suppl.e16612" TargetMode="External" /><Relationship Type="http://schemas.openxmlformats.org/officeDocument/2006/relationships/hyperlink" Id="rId143" Target="https://doi.org/10.1289/ehp89" TargetMode="External" /><Relationship Type="http://schemas.openxmlformats.org/officeDocument/2006/relationships/hyperlink" Id="rId210" Target="https://doi.org/10.21105/joss.01686" TargetMode="External" /><Relationship Type="http://schemas.openxmlformats.org/officeDocument/2006/relationships/hyperlink" Id="rId248" Target="https://doi.org/10.3233/blc-190221" TargetMode="External" /><Relationship Type="http://schemas.openxmlformats.org/officeDocument/2006/relationships/hyperlink" Id="rId155" Target="https://doi.org/10.3233/blc-230062" TargetMode="External" /><Relationship Type="http://schemas.openxmlformats.org/officeDocument/2006/relationships/hyperlink" Id="rId200" Target="https://doi.org/10.32614/RJ-2021-048" TargetMode="External" /><Relationship Type="http://schemas.openxmlformats.org/officeDocument/2006/relationships/hyperlink" Id="rId122" Target="https://doi.org/10.3322/caac.21590" TargetMode="External" /><Relationship Type="http://schemas.openxmlformats.org/officeDocument/2006/relationships/hyperlink" Id="rId159" Target="https://doi.org/10.3322/caac.21660" TargetMode="External" /><Relationship Type="http://schemas.openxmlformats.org/officeDocument/2006/relationships/hyperlink" Id="rId147" Target="https://doi.org/10.3389/fpubh.2024.1354663" TargetMode="External" /><Relationship Type="http://schemas.openxmlformats.org/officeDocument/2006/relationships/hyperlink" Id="rId256" Target="https://doi.org/10.3892/etm.2019.7879" TargetMode="External" /><Relationship Type="http://schemas.openxmlformats.org/officeDocument/2006/relationships/hyperlink" Id="rId269" Target="https://doi.org/10.4111/icu.20230125" TargetMode="External" /><Relationship Type="http://schemas.openxmlformats.org/officeDocument/2006/relationships/hyperlink" Id="rId240" Target="https://doi.org/10.7759/cureus.27330" TargetMode="External" /><Relationship Type="http://schemas.openxmlformats.org/officeDocument/2006/relationships/hyperlink" Id="rId208" Target="https://ggplot2.tidyverse.org" TargetMode="External" /><Relationship Type="http://schemas.openxmlformats.org/officeDocument/2006/relationships/hyperlink" Id="rId169" Target="https://ghdx.healthdata.org/node/548352" TargetMode="External" /><Relationship Type="http://schemas.openxmlformats.org/officeDocument/2006/relationships/hyperlink" Id="rId192" Target="https://github.com/EmilHvitfeldt/paletteer" TargetMode="External" /><Relationship Type="http://schemas.openxmlformats.org/officeDocument/2006/relationships/hyperlink" Id="rId116" Target="https://github.com/alireza5969/gbd-bladder-cancer" TargetMode="External" /><Relationship Type="http://schemas.openxmlformats.org/officeDocument/2006/relationships/hyperlink" Id="rId71" Target="https://github.com/alireza5969/gbd-bladder-cancer/tree/main/output/figures/APC%20plot%201" TargetMode="External" /><Relationship Type="http://schemas.openxmlformats.org/officeDocument/2006/relationships/hyperlink" Id="rId110" Target="https://github.com/alireza5969/gbd-bladder-cancer/tree/main/output/figures/Bump%20plot" TargetMode="External" /><Relationship Type="http://schemas.openxmlformats.org/officeDocument/2006/relationships/hyperlink" Id="rId98" Target="https://github.com/alireza5969/gbd-bladder-cancer/tree/main/output/figures/Geofacet%20plot" TargetMode="External" /><Relationship Type="http://schemas.openxmlformats.org/officeDocument/2006/relationships/hyperlink" Id="rId69" Target="https://github.com/alireza5969/gbd-bladder-cancer/tree/main/output/figures/Population%20pyramid%20-%202021" TargetMode="External" /><Relationship Type="http://schemas.openxmlformats.org/officeDocument/2006/relationships/hyperlink" Id="rId70" Target="https://github.com/alireza5969/gbd-bladder-cancer/tree/main/output/figures/Population%20pyramid%20-%20animated" TargetMode="External" /><Relationship Type="http://schemas.openxmlformats.org/officeDocument/2006/relationships/hyperlink" Id="rId171" Target="https://github.com/rstudio/rmarkdown"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20" Target="https://seer.cancer.gov/statfacts/html/urinb.html" TargetMode="External" /><Relationship Type="http://schemas.openxmlformats.org/officeDocument/2006/relationships/hyperlink" Id="rId153" Target="https://statecancerprofiles.cancer.gov/index.html" TargetMode="External" /><Relationship Type="http://schemas.openxmlformats.org/officeDocument/2006/relationships/hyperlink" Id="rId278" Target="https://www.cdc.gov/brfss/brfssprevalence/" TargetMode="External" /><Relationship Type="http://schemas.openxmlformats.org/officeDocument/2006/relationships/hyperlink" Id="rId234" Target="https://www.ncbi.nlm.nih.gov/books/NBK53914/" TargetMode="External" /><Relationship Type="http://schemas.openxmlformats.org/officeDocument/2006/relationships/hyperlink" Id="rId228" Target="https://www.sciencedirect.com/science/article/pii/S1078143911002808" TargetMode="External" /><Relationship Type="http://schemas.openxmlformats.org/officeDocument/2006/relationships/hyperlink" Id="rId132" Target="https://www.sciencedirect.com/science/article/pii/S1078143924004204" TargetMode="External" /><Relationship Type="http://schemas.openxmlformats.org/officeDocument/2006/relationships/hyperlink" Id="rId219"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21</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1980-2021</dc:title>
  <dc:creator>Alireza Sadeghi1, Fatemeh Nouri1, Niloofar Dehdari Ebrahimi1, Ehsan Taherifard1, and Wassim Kassouf2,✉</dc:creator>
  <cp:keywords>bladder cancer, global burden of disease, United States of America, incidence, mortality, prevalence</cp:keywords>
  <dcterms:created xsi:type="dcterms:W3CDTF">2025-12-12T21:27:21Z</dcterms:created>
  <dcterms:modified xsi:type="dcterms:W3CDTF">2025-12-12T21:27:21Z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bladder.bib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