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E0" w:rsidRDefault="004C14E0">
      <w:pPr>
        <w:rPr>
          <w:b/>
          <w:bCs/>
          <w:lang w:val="en-US"/>
        </w:rPr>
      </w:pPr>
      <w:r>
        <w:rPr>
          <w:b/>
          <w:bCs/>
          <w:lang w:val="en-US"/>
        </w:rPr>
        <w:t>PURPOSE</w:t>
      </w:r>
    </w:p>
    <w:p w:rsidR="004C14E0" w:rsidRPr="004C14E0" w:rsidRDefault="004C14E0">
      <w:pPr>
        <w:rPr>
          <w:lang w:val="en-US"/>
        </w:rPr>
      </w:pPr>
      <w:r>
        <w:rPr>
          <w:lang w:val="en-US"/>
        </w:rPr>
        <w:t xml:space="preserve">Examine </w:t>
      </w:r>
      <w:r w:rsidR="00DD4936">
        <w:rPr>
          <w:lang w:val="en-US"/>
        </w:rPr>
        <w:t xml:space="preserve">interactions </w:t>
      </w:r>
      <w:r w:rsidR="009A6683">
        <w:rPr>
          <w:lang w:val="en-US"/>
        </w:rPr>
        <w:t xml:space="preserve">between </w:t>
      </w:r>
      <w:r w:rsidR="00DD4936">
        <w:rPr>
          <w:lang w:val="en-US"/>
        </w:rPr>
        <w:t>peers with an advertising payoff</w:t>
      </w:r>
      <w:r w:rsidR="009A6683">
        <w:rPr>
          <w:lang w:val="en-US"/>
        </w:rPr>
        <w:t xml:space="preserve"> and</w:t>
      </w:r>
      <w:r w:rsidR="00DD4936">
        <w:rPr>
          <w:lang w:val="en-US"/>
        </w:rPr>
        <w:t xml:space="preserve"> peers with a selfish payoff</w:t>
      </w:r>
      <w:r w:rsidR="009A6683">
        <w:rPr>
          <w:lang w:val="en-US"/>
        </w:rPr>
        <w:t xml:space="preserve"> in a simplistic network</w:t>
      </w:r>
      <w:r w:rsidR="00DD4936">
        <w:rPr>
          <w:lang w:val="en-US"/>
        </w:rPr>
        <w:t>.</w:t>
      </w:r>
      <w:r w:rsidR="009A6683">
        <w:rPr>
          <w:lang w:val="en-US"/>
        </w:rPr>
        <w:t xml:space="preserve"> </w:t>
      </w:r>
      <w:r w:rsidR="00DD4936">
        <w:rPr>
          <w:lang w:val="en-US"/>
        </w:rPr>
        <w:t xml:space="preserve">  </w:t>
      </w:r>
    </w:p>
    <w:p w:rsidR="009A6683" w:rsidRPr="009A6683" w:rsidRDefault="009A6683">
      <w:pPr>
        <w:rPr>
          <w:lang w:val="en-US"/>
        </w:rPr>
      </w:pPr>
      <w:r>
        <w:rPr>
          <w:b/>
          <w:bCs/>
          <w:lang w:val="en-US"/>
        </w:rPr>
        <w:t>DESCRIPTION</w:t>
      </w:r>
    </w:p>
    <w:p w:rsidR="009A6683" w:rsidRPr="009A6683" w:rsidRDefault="009A6683">
      <w:pPr>
        <w:rPr>
          <w:lang w:val="en-US"/>
        </w:rPr>
      </w:pPr>
      <w:r w:rsidRPr="009A6683">
        <w:rPr>
          <w:lang w:val="en-US"/>
        </w:rPr>
        <w:t xml:space="preserve">NETWORK POPULATIONS: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435"/>
        <w:gridCol w:w="2431"/>
      </w:tblGrid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Initial </w:t>
            </w:r>
            <w:r w:rsidRPr="009A6683">
              <w:rPr>
                <w:u w:val="single"/>
                <w:lang w:val="en-US"/>
              </w:rPr>
              <w:t>Population Size</w:t>
            </w:r>
          </w:p>
        </w:tc>
        <w:tc>
          <w:tcPr>
            <w:tcW w:w="2435" w:type="dxa"/>
          </w:tcPr>
          <w:p w:rsidR="00B010BF" w:rsidRPr="009A6683" w:rsidRDefault="00B010BF">
            <w:pPr>
              <w:rPr>
                <w:u w:val="single"/>
                <w:lang w:val="en-US"/>
              </w:rPr>
            </w:pPr>
            <w:r w:rsidRPr="009A6683">
              <w:rPr>
                <w:u w:val="single"/>
                <w:lang w:val="en-US"/>
              </w:rPr>
              <w:t>Population Name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</w:tr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5" w:type="dxa"/>
          </w:tcPr>
          <w:p w:rsidR="00B010BF" w:rsidRPr="009A6683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Advertising Payoff</w:t>
            </w:r>
          </w:p>
        </w:tc>
      </w:tr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5" w:type="dxa"/>
          </w:tcPr>
          <w:p w:rsidR="00B010BF" w:rsidRPr="009A6683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Random-profiles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</w:tr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435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9A6683" w:rsidRDefault="009A6683">
      <w:pPr>
        <w:rPr>
          <w:lang w:val="en-US"/>
        </w:rPr>
      </w:pPr>
      <w:r w:rsidRPr="009A6683">
        <w:rPr>
          <w:lang w:val="en-US"/>
        </w:rPr>
        <w:br/>
      </w:r>
      <w:r>
        <w:rPr>
          <w:lang w:val="en-US"/>
        </w:rPr>
        <w:t>POPULATION PRO</w:t>
      </w:r>
      <w:r w:rsidR="00B010BF">
        <w:rPr>
          <w:lang w:val="en-US"/>
        </w:rPr>
        <w:t>FILES</w:t>
      </w:r>
      <w:r>
        <w:rPr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4"/>
        <w:gridCol w:w="1168"/>
        <w:gridCol w:w="1441"/>
        <w:gridCol w:w="1528"/>
      </w:tblGrid>
      <w:tr w:rsidR="00B010BF" w:rsidTr="00B010BF">
        <w:tc>
          <w:tcPr>
            <w:tcW w:w="704" w:type="pct"/>
          </w:tcPr>
          <w:p w:rsidR="00B010BF" w:rsidRPr="009A6683" w:rsidRDefault="00B010BF" w:rsidP="00AD07FF">
            <w:pPr>
              <w:tabs>
                <w:tab w:val="right" w:pos="2121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Population Name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Rank Strategy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Like Strategy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  <w:tc>
          <w:tcPr>
            <w:tcW w:w="631" w:type="pct"/>
          </w:tcPr>
          <w:p w:rsidR="00B010BF" w:rsidRPr="00AD07FF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Follow Strategy</w:t>
            </w:r>
          </w:p>
        </w:tc>
        <w:tc>
          <w:tcPr>
            <w:tcW w:w="777" w:type="pct"/>
          </w:tcPr>
          <w:p w:rsidR="00B010BF" w:rsidRPr="00AD07FF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Publish Strategy</w:t>
            </w:r>
          </w:p>
        </w:tc>
        <w:tc>
          <w:tcPr>
            <w:tcW w:w="776" w:type="pct"/>
          </w:tcPr>
          <w:p w:rsidR="00B010BF" w:rsidRPr="00B010BF" w:rsidRDefault="00B010BF" w:rsidP="00B010BF">
            <w:pPr>
              <w:ind w:left="720" w:hanging="72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Tag Values</w:t>
            </w:r>
          </w:p>
        </w:tc>
      </w:tr>
      <w:tr w:rsidR="00B010BF" w:rsidTr="00B010BF">
        <w:tc>
          <w:tcPr>
            <w:tcW w:w="704" w:type="pct"/>
          </w:tcPr>
          <w:p w:rsidR="00B010BF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Advertising Payoff</w:t>
            </w:r>
          </w:p>
        </w:tc>
        <w:tc>
          <w:tcPr>
            <w:tcW w:w="631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77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Publish with Threshold and Cost</w:t>
            </w:r>
          </w:p>
        </w:tc>
        <w:tc>
          <w:tcPr>
            <w:tcW w:w="776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10BF" w:rsidTr="00B010BF">
        <w:tc>
          <w:tcPr>
            <w:tcW w:w="704" w:type="pct"/>
          </w:tcPr>
          <w:p w:rsidR="00B010BF" w:rsidRPr="009A6683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Random-profiles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Random TopK with Memory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Like Documents with Shared Tags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  <w:tc>
          <w:tcPr>
            <w:tcW w:w="631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Follow Similar Peers</w:t>
            </w:r>
          </w:p>
        </w:tc>
        <w:tc>
          <w:tcPr>
            <w:tcW w:w="777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Publish with Threshold and cost</w:t>
            </w:r>
          </w:p>
        </w:tc>
        <w:tc>
          <w:tcPr>
            <w:tcW w:w="776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10BF" w:rsidTr="00B010BF"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Default="008D4215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31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77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76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1 or 0 (random)</w:t>
            </w:r>
          </w:p>
        </w:tc>
      </w:tr>
    </w:tbl>
    <w:p w:rsidR="00AD07FF" w:rsidRDefault="00AD07FF" w:rsidP="00AD07FF">
      <w:pPr>
        <w:rPr>
          <w:lang w:val="en-US"/>
        </w:rPr>
      </w:pPr>
    </w:p>
    <w:p w:rsidR="00AD07FF" w:rsidRPr="00DF081E" w:rsidRDefault="00AD07FF" w:rsidP="00AD07FF">
      <w:pPr>
        <w:rPr>
          <w:lang w:val="en-US"/>
        </w:rPr>
      </w:pPr>
      <w:r w:rsidRPr="00DF081E">
        <w:rPr>
          <w:lang w:val="en-US"/>
        </w:rPr>
        <w:t>STRATEGY DESCRIPTIONS:</w:t>
      </w:r>
    </w:p>
    <w:p w:rsidR="00AD07FF" w:rsidRDefault="00AD07FF" w:rsidP="00AD07FF">
      <w:pPr>
        <w:rPr>
          <w:lang w:val="en-US"/>
        </w:rPr>
      </w:pPr>
      <w:r>
        <w:rPr>
          <w:lang w:val="en-US"/>
        </w:rPr>
        <w:t>Random TopK</w:t>
      </w:r>
      <w:r w:rsidR="00B010BF">
        <w:rPr>
          <w:lang w:val="en-US"/>
        </w:rPr>
        <w:t xml:space="preserve"> with Memory</w:t>
      </w:r>
      <w:r>
        <w:rPr>
          <w:lang w:val="en-US"/>
        </w:rPr>
        <w:t xml:space="preserve">: This strategy returns a random list of </w:t>
      </w:r>
      <w:r w:rsidR="00B010BF">
        <w:rPr>
          <w:lang w:val="en-US"/>
        </w:rPr>
        <w:t>documents</w:t>
      </w:r>
      <w:r>
        <w:rPr>
          <w:lang w:val="en-US"/>
        </w:rPr>
        <w:t xml:space="preserve"> of size K, it will remember and exclude </w:t>
      </w:r>
      <w:r w:rsidR="00B010BF">
        <w:rPr>
          <w:lang w:val="en-US"/>
        </w:rPr>
        <w:t>documents</w:t>
      </w:r>
      <w:r>
        <w:rPr>
          <w:lang w:val="en-US"/>
        </w:rPr>
        <w:t xml:space="preserve"> that were in the list previously. </w:t>
      </w:r>
    </w:p>
    <w:p w:rsidR="00B010BF" w:rsidRDefault="00B010BF" w:rsidP="00AD07FF">
      <w:pPr>
        <w:rPr>
          <w:lang w:val="en-US"/>
        </w:rPr>
      </w:pPr>
      <w:r>
        <w:rPr>
          <w:lang w:val="en-US"/>
        </w:rPr>
        <w:t xml:space="preserve">Like Documents with Shared Tags: The user will like documents that were returned by their rank strategy if that documents has at least one tag in common with the user. </w:t>
      </w:r>
    </w:p>
    <w:p w:rsidR="00B010BF" w:rsidRDefault="00AD07FF" w:rsidP="00AD07FF">
      <w:pPr>
        <w:rPr>
          <w:lang w:val="en-US"/>
        </w:rPr>
      </w:pPr>
      <w:r>
        <w:rPr>
          <w:lang w:val="en-US"/>
        </w:rPr>
        <w:t xml:space="preserve">Advertising Payoff: Rewards the user based on how many times </w:t>
      </w:r>
      <w:r w:rsidR="00B010BF">
        <w:rPr>
          <w:lang w:val="en-US"/>
        </w:rPr>
        <w:t>documents</w:t>
      </w:r>
      <w:r>
        <w:rPr>
          <w:lang w:val="en-US"/>
        </w:rPr>
        <w:t xml:space="preserve"> with the same taste as them have been visited since the user’s last turn. </w:t>
      </w:r>
      <w:r>
        <w:rPr>
          <w:lang w:val="en-US"/>
        </w:rPr>
        <w:br/>
      </w:r>
      <w:r>
        <w:rPr>
          <w:lang w:val="en-US"/>
        </w:rPr>
        <w:br/>
        <w:t xml:space="preserve">Selfish Payoff: Rewards the user based on how many </w:t>
      </w:r>
      <w:r w:rsidR="00B010BF">
        <w:rPr>
          <w:lang w:val="en-US"/>
        </w:rPr>
        <w:t>documents</w:t>
      </w:r>
      <w:r>
        <w:rPr>
          <w:lang w:val="en-US"/>
        </w:rPr>
        <w:t xml:space="preserve"> </w:t>
      </w:r>
      <w:r w:rsidR="00B010BF">
        <w:rPr>
          <w:lang w:val="en-US"/>
        </w:rPr>
        <w:t>returned by th</w:t>
      </w:r>
      <w:r w:rsidR="008D4215">
        <w:rPr>
          <w:lang w:val="en-US"/>
        </w:rPr>
        <w:t>eir rank strategy have tags in common with the user</w:t>
      </w:r>
      <w:r w:rsidR="00B010BF">
        <w:rPr>
          <w:lang w:val="en-US"/>
        </w:rPr>
        <w:t>.</w:t>
      </w:r>
      <w:r>
        <w:rPr>
          <w:lang w:val="en-US"/>
        </w:rPr>
        <w:t xml:space="preserve"> </w:t>
      </w:r>
      <w:r w:rsidR="008D4215">
        <w:rPr>
          <w:lang w:val="en-US"/>
        </w:rPr>
        <w:t xml:space="preserve">Punishes the user based on how many documents returned by their rank strategy have no tags in common with the user. </w:t>
      </w:r>
    </w:p>
    <w:p w:rsidR="00B010BF" w:rsidRDefault="00B010BF" w:rsidP="00AD07FF">
      <w:pPr>
        <w:rPr>
          <w:lang w:val="en-US"/>
        </w:rPr>
      </w:pPr>
      <w:r>
        <w:rPr>
          <w:lang w:val="en-US"/>
        </w:rPr>
        <w:t xml:space="preserve">Follow Similar Peers: The user will follow peers who have liked documents that were returned by the user’s rank strategy this turn, and that the user liked. </w:t>
      </w:r>
    </w:p>
    <w:p w:rsidR="004C14E0" w:rsidRDefault="00B010BF">
      <w:pPr>
        <w:rPr>
          <w:lang w:val="en-US"/>
        </w:rPr>
      </w:pPr>
      <w:r>
        <w:rPr>
          <w:lang w:val="en-US"/>
        </w:rPr>
        <w:t>Publish with Threshold and Cost: If the payoff the user received this turn is above a certain threshold, then the user will publish a document and a cost will be subtracted from the user’s payoff. The published document will possess the same tags as the user who published them.</w:t>
      </w:r>
    </w:p>
    <w:p w:rsidR="008D4215" w:rsidRDefault="008D4215">
      <w:pPr>
        <w:rPr>
          <w:lang w:val="en-US"/>
        </w:rPr>
      </w:pPr>
      <w:r w:rsidRPr="008A0A76">
        <w:rPr>
          <w:b/>
          <w:bCs/>
          <w:lang w:val="en-US"/>
        </w:rPr>
        <w:lastRenderedPageBreak/>
        <w:t>HYPOTHESIS</w:t>
      </w:r>
    </w:p>
    <w:p w:rsidR="008D4215" w:rsidRDefault="008D4215">
      <w:pPr>
        <w:rPr>
          <w:lang w:val="en-US"/>
        </w:rPr>
      </w:pPr>
      <w:r>
        <w:rPr>
          <w:lang w:val="en-US"/>
        </w:rPr>
        <w:t xml:space="preserve">Attack profiles are likely to reap large rewards, as their rewards are based on the turns of other peers. The more consuming peers in a network, the more successful the attack profiles, who all use an advertising payoff, will be. </w:t>
      </w:r>
    </w:p>
    <w:p w:rsidR="00134C72" w:rsidRDefault="00A82ECB">
      <w:pPr>
        <w:rPr>
          <w:b/>
          <w:bCs/>
          <w:lang w:val="en-US"/>
        </w:rPr>
      </w:pPr>
      <w:r>
        <w:rPr>
          <w:lang w:val="en-US"/>
        </w:rPr>
        <w:br/>
      </w:r>
    </w:p>
    <w:p w:rsidR="00134C72" w:rsidRDefault="00134C7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A82ECB" w:rsidRDefault="00411F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LAB 1 RESULTS – 0.5 reward for advertisers per view</w:t>
      </w:r>
    </w:p>
    <w:p w:rsidR="00134C72" w:rsidRDefault="00134C72" w:rsidP="00134C72">
      <w:pPr>
        <w:keepNext/>
      </w:pPr>
      <w:r>
        <w:rPr>
          <w:noProof/>
          <w:lang w:val="en-US"/>
        </w:rPr>
        <w:drawing>
          <wp:inline distT="0" distB="0" distL="0" distR="0" wp14:anchorId="45C9C752" wp14:editId="68F064F6">
            <wp:extent cx="5541170" cy="3233738"/>
            <wp:effectExtent l="0" t="0" r="254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4C72" w:rsidRDefault="00134C72" w:rsidP="00134C7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Populations of data by breed</w:t>
      </w:r>
    </w:p>
    <w:p w:rsidR="00134C72" w:rsidRDefault="00134C72" w:rsidP="00134C72">
      <w:pPr>
        <w:keepNext/>
      </w:pPr>
      <w:r>
        <w:rPr>
          <w:noProof/>
          <w:lang w:val="en-US"/>
        </w:rPr>
        <w:drawing>
          <wp:inline distT="0" distB="0" distL="0" distR="0" wp14:anchorId="2B9CE19A" wp14:editId="3C879EDF">
            <wp:extent cx="5943600" cy="2685415"/>
            <wp:effectExtent l="0" t="0" r="0" b="6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4C72" w:rsidRPr="00134C72" w:rsidRDefault="00134C72" w:rsidP="00134C7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: Turn-score of user by breed</w:t>
      </w:r>
    </w:p>
    <w:p w:rsidR="00134C72" w:rsidRDefault="00134C72" w:rsidP="00134C7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E3B9BF4" wp14:editId="4FDAD3A1">
            <wp:extent cx="5943600" cy="3093085"/>
            <wp:effectExtent l="0" t="0" r="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4C72" w:rsidRDefault="00134C72" w:rsidP="00134C7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: Total score of user by breed</w:t>
      </w:r>
    </w:p>
    <w:p w:rsidR="00134C72" w:rsidRDefault="00134C72" w:rsidP="00134C72">
      <w:pPr>
        <w:keepNext/>
      </w:pPr>
      <w:r>
        <w:rPr>
          <w:noProof/>
          <w:lang w:val="en-US"/>
        </w:rPr>
        <w:drawing>
          <wp:inline distT="0" distB="0" distL="0" distR="0" wp14:anchorId="4E0F4428" wp14:editId="3AB69A15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4C72" w:rsidRDefault="00134C72" w:rsidP="00134C7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: Average score of all users</w:t>
      </w:r>
      <w:r>
        <w:rPr>
          <w:lang w:val="en-US"/>
        </w:rPr>
        <w:br/>
      </w:r>
    </w:p>
    <w:p w:rsidR="00134C72" w:rsidRDefault="00134C72" w:rsidP="00134C72">
      <w:pPr>
        <w:rPr>
          <w:lang w:val="en-US"/>
        </w:rPr>
      </w:pPr>
      <w:r>
        <w:rPr>
          <w:lang w:val="en-US"/>
        </w:rPr>
        <w:t>Based on figure one, we choose to arbitrarily ignore data points beyond turn 16 because the population is less than 50 for each breed.</w:t>
      </w:r>
    </w:p>
    <w:p w:rsidR="00134C72" w:rsidRPr="00134C72" w:rsidRDefault="00134C72" w:rsidP="00134C72">
      <w:pPr>
        <w:rPr>
          <w:lang w:val="en-US"/>
        </w:rPr>
      </w:pPr>
      <w:r>
        <w:rPr>
          <w:lang w:val="en-US"/>
        </w:rPr>
        <w:t xml:space="preserve">Why is there a decay in the turn-payoff of attack peers? </w:t>
      </w:r>
    </w:p>
    <w:p w:rsidR="00411F01" w:rsidRDefault="00134C72">
      <w:pPr>
        <w:rPr>
          <w:lang w:val="en-US"/>
        </w:rPr>
      </w:pPr>
      <w:r>
        <w:rPr>
          <w:lang w:val="en-US"/>
        </w:rPr>
        <w:t>Why does the turn-payoff for random peers jump around so much?</w:t>
      </w:r>
    </w:p>
    <w:p w:rsidR="00411F01" w:rsidRDefault="00411F01">
      <w:pPr>
        <w:rPr>
          <w:lang w:val="en-US"/>
        </w:rPr>
      </w:pPr>
      <w:r>
        <w:rPr>
          <w:lang w:val="en-US"/>
        </w:rPr>
        <w:br w:type="page"/>
      </w:r>
    </w:p>
    <w:p w:rsidR="00134C72" w:rsidRDefault="00411F01">
      <w:pPr>
        <w:rPr>
          <w:lang w:val="en-US"/>
        </w:rPr>
      </w:pPr>
      <w:r>
        <w:rPr>
          <w:b/>
          <w:bCs/>
          <w:lang w:val="en-US"/>
        </w:rPr>
        <w:lastRenderedPageBreak/>
        <w:t>LAB 2</w:t>
      </w:r>
      <w:r>
        <w:rPr>
          <w:lang w:val="en-US"/>
        </w:rPr>
        <w:t xml:space="preserve"> – increase score to 1, include how many children each peer owns</w:t>
      </w:r>
      <w:bookmarkStart w:id="0" w:name="_GoBack"/>
      <w:bookmarkEnd w:id="0"/>
      <w:r w:rsidR="00134C72">
        <w:rPr>
          <w:lang w:val="en-US"/>
        </w:rPr>
        <w:br w:type="page"/>
      </w:r>
    </w:p>
    <w:p w:rsidR="0047732A" w:rsidRDefault="0047732A" w:rsidP="0047732A">
      <w:pPr>
        <w:rPr>
          <w:lang w:val="en-US"/>
        </w:rPr>
      </w:pPr>
      <w:r>
        <w:rPr>
          <w:b/>
          <w:bCs/>
          <w:lang w:val="en-US"/>
        </w:rPr>
        <w:lastRenderedPageBreak/>
        <w:t>TERMS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 xml:space="preserve">User: The peer who is currently acting. 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 xml:space="preserve">Advertising Payoff: A payoff method that offers rewards the user based on how many times a group of documents is visited by other peers. 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>Selfish Payoff: A payoff method that offers rewards the user based on the documents that are found by the user.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>Consuming Peers: Peers who use a selfish payoff.</w:t>
      </w:r>
    </w:p>
    <w:p w:rsidR="0047732A" w:rsidRPr="00A82ECB" w:rsidRDefault="0047732A">
      <w:pPr>
        <w:rPr>
          <w:lang w:val="en-US"/>
        </w:rPr>
      </w:pPr>
    </w:p>
    <w:sectPr w:rsidR="0047732A" w:rsidRPr="00A8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27564"/>
    <w:multiLevelType w:val="hybridMultilevel"/>
    <w:tmpl w:val="8832742A"/>
    <w:lvl w:ilvl="0" w:tplc="F1DAFF34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CB"/>
    <w:rsid w:val="00134C72"/>
    <w:rsid w:val="00411F01"/>
    <w:rsid w:val="0047732A"/>
    <w:rsid w:val="004C14E0"/>
    <w:rsid w:val="005745A9"/>
    <w:rsid w:val="006222FD"/>
    <w:rsid w:val="0085145D"/>
    <w:rsid w:val="008A0A76"/>
    <w:rsid w:val="008D4215"/>
    <w:rsid w:val="009A6683"/>
    <w:rsid w:val="00A82ECB"/>
    <w:rsid w:val="00AD07FF"/>
    <w:rsid w:val="00B010BF"/>
    <w:rsid w:val="00C17E10"/>
    <w:rsid w:val="00DD4936"/>
    <w:rsid w:val="00DF081E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FAF7A-19A8-4DC1-9A5B-690C54FD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68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4C72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Simulator%20smaller-netowork-1-tab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Simulator%20smaller-netowork-1-tabl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Simulator%20smaller-netowork-1-tabl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Simulator%20smaller-netowork-1-tabl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[Simulator smaller-netowork-1-table.csv]Sheet3!PivotTable3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Sheet3!$A$4:$A$52</c:f>
              <c:multiLvlStrCache>
                <c:ptCount val="4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1</c:v>
                  </c:pt>
                  <c:pt idx="23">
                    <c:v>2</c:v>
                  </c:pt>
                  <c:pt idx="24">
                    <c:v>3</c:v>
                  </c:pt>
                  <c:pt idx="25">
                    <c:v>4</c:v>
                  </c:pt>
                  <c:pt idx="26">
                    <c:v>5</c:v>
                  </c:pt>
                  <c:pt idx="27">
                    <c:v>6</c:v>
                  </c:pt>
                  <c:pt idx="28">
                    <c:v>7</c:v>
                  </c:pt>
                  <c:pt idx="29">
                    <c:v>8</c:v>
                  </c:pt>
                  <c:pt idx="30">
                    <c:v>9</c:v>
                  </c:pt>
                  <c:pt idx="31">
                    <c:v>10</c:v>
                  </c:pt>
                  <c:pt idx="32">
                    <c:v>11</c:v>
                  </c:pt>
                  <c:pt idx="33">
                    <c:v>12</c:v>
                  </c:pt>
                  <c:pt idx="34">
                    <c:v>13</c:v>
                  </c:pt>
                  <c:pt idx="35">
                    <c:v>14</c:v>
                  </c:pt>
                  <c:pt idx="36">
                    <c:v>15</c:v>
                  </c:pt>
                  <c:pt idx="37">
                    <c:v>16</c:v>
                  </c:pt>
                  <c:pt idx="38">
                    <c:v>17</c:v>
                  </c:pt>
                  <c:pt idx="39">
                    <c:v>18</c:v>
                  </c:pt>
                  <c:pt idx="40">
                    <c:v>19</c:v>
                  </c:pt>
                  <c:pt idx="41">
                    <c:v>20</c:v>
                  </c:pt>
                  <c:pt idx="42">
                    <c:v>21</c:v>
                  </c:pt>
                  <c:pt idx="43">
                    <c:v>22</c:v>
                  </c:pt>
                  <c:pt idx="44">
                    <c:v>23</c:v>
                  </c:pt>
                  <c:pt idx="45">
                    <c:v>24</c:v>
                  </c:pt>
                </c:lvl>
                <c:lvl>
                  <c:pt idx="0">
                    <c:v>{breed attack-profiles}</c:v>
                  </c:pt>
                  <c:pt idx="22">
                    <c:v>{breed random-profiles}</c:v>
                  </c:pt>
                </c:lvl>
              </c:multiLvlStrCache>
            </c:multiLvlStrRef>
          </c:cat>
          <c:val>
            <c:numRef>
              <c:f>Sheet3!$B$4:$B$52</c:f>
              <c:numCache>
                <c:formatCode>General</c:formatCode>
                <c:ptCount val="46"/>
                <c:pt idx="0">
                  <c:v>296</c:v>
                </c:pt>
                <c:pt idx="1">
                  <c:v>296</c:v>
                </c:pt>
                <c:pt idx="2">
                  <c:v>296</c:v>
                </c:pt>
                <c:pt idx="3">
                  <c:v>296</c:v>
                </c:pt>
                <c:pt idx="4">
                  <c:v>294</c:v>
                </c:pt>
                <c:pt idx="5">
                  <c:v>294</c:v>
                </c:pt>
                <c:pt idx="6">
                  <c:v>292</c:v>
                </c:pt>
                <c:pt idx="7">
                  <c:v>280</c:v>
                </c:pt>
                <c:pt idx="8">
                  <c:v>267</c:v>
                </c:pt>
                <c:pt idx="9">
                  <c:v>245</c:v>
                </c:pt>
                <c:pt idx="10">
                  <c:v>229</c:v>
                </c:pt>
                <c:pt idx="11">
                  <c:v>194</c:v>
                </c:pt>
                <c:pt idx="12">
                  <c:v>157</c:v>
                </c:pt>
                <c:pt idx="13">
                  <c:v>113</c:v>
                </c:pt>
                <c:pt idx="14">
                  <c:v>81</c:v>
                </c:pt>
                <c:pt idx="15">
                  <c:v>51</c:v>
                </c:pt>
                <c:pt idx="16">
                  <c:v>35</c:v>
                </c:pt>
                <c:pt idx="17">
                  <c:v>19</c:v>
                </c:pt>
                <c:pt idx="18">
                  <c:v>8</c:v>
                </c:pt>
                <c:pt idx="19">
                  <c:v>4</c:v>
                </c:pt>
                <c:pt idx="20">
                  <c:v>3</c:v>
                </c:pt>
                <c:pt idx="21">
                  <c:v>1</c:v>
                </c:pt>
                <c:pt idx="22">
                  <c:v>296</c:v>
                </c:pt>
                <c:pt idx="23">
                  <c:v>296</c:v>
                </c:pt>
                <c:pt idx="24">
                  <c:v>296</c:v>
                </c:pt>
                <c:pt idx="25">
                  <c:v>296</c:v>
                </c:pt>
                <c:pt idx="26">
                  <c:v>295</c:v>
                </c:pt>
                <c:pt idx="27">
                  <c:v>293</c:v>
                </c:pt>
                <c:pt idx="28">
                  <c:v>290</c:v>
                </c:pt>
                <c:pt idx="29">
                  <c:v>282</c:v>
                </c:pt>
                <c:pt idx="30">
                  <c:v>271</c:v>
                </c:pt>
                <c:pt idx="31">
                  <c:v>255</c:v>
                </c:pt>
                <c:pt idx="32">
                  <c:v>228</c:v>
                </c:pt>
                <c:pt idx="33">
                  <c:v>192</c:v>
                </c:pt>
                <c:pt idx="34">
                  <c:v>154</c:v>
                </c:pt>
                <c:pt idx="35">
                  <c:v>124</c:v>
                </c:pt>
                <c:pt idx="36">
                  <c:v>86</c:v>
                </c:pt>
                <c:pt idx="37">
                  <c:v>54</c:v>
                </c:pt>
                <c:pt idx="38">
                  <c:v>31</c:v>
                </c:pt>
                <c:pt idx="39">
                  <c:v>17</c:v>
                </c:pt>
                <c:pt idx="40">
                  <c:v>6</c:v>
                </c:pt>
                <c:pt idx="41">
                  <c:v>5</c:v>
                </c:pt>
                <c:pt idx="42">
                  <c:v>5</c:v>
                </c:pt>
                <c:pt idx="43">
                  <c:v>2</c:v>
                </c:pt>
                <c:pt idx="44">
                  <c:v>2</c:v>
                </c:pt>
                <c:pt idx="4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1264376"/>
        <c:axId val="611270256"/>
      </c:barChart>
      <c:catAx>
        <c:axId val="61126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70256"/>
        <c:crosses val="autoZero"/>
        <c:auto val="1"/>
        <c:lblAlgn val="ctr"/>
        <c:lblOffset val="100"/>
        <c:noMultiLvlLbl val="0"/>
      </c:catAx>
      <c:valAx>
        <c:axId val="61127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[Simulator smaller-netowork-1-table.csv]Sheet2!PivotTable2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Sheet2!$A$4:$A$52</c:f>
              <c:multiLvlStrCache>
                <c:ptCount val="4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1</c:v>
                  </c:pt>
                  <c:pt idx="23">
                    <c:v>2</c:v>
                  </c:pt>
                  <c:pt idx="24">
                    <c:v>3</c:v>
                  </c:pt>
                  <c:pt idx="25">
                    <c:v>4</c:v>
                  </c:pt>
                  <c:pt idx="26">
                    <c:v>5</c:v>
                  </c:pt>
                  <c:pt idx="27">
                    <c:v>6</c:v>
                  </c:pt>
                  <c:pt idx="28">
                    <c:v>7</c:v>
                  </c:pt>
                  <c:pt idx="29">
                    <c:v>8</c:v>
                  </c:pt>
                  <c:pt idx="30">
                    <c:v>9</c:v>
                  </c:pt>
                  <c:pt idx="31">
                    <c:v>10</c:v>
                  </c:pt>
                  <c:pt idx="32">
                    <c:v>11</c:v>
                  </c:pt>
                  <c:pt idx="33">
                    <c:v>12</c:v>
                  </c:pt>
                  <c:pt idx="34">
                    <c:v>13</c:v>
                  </c:pt>
                  <c:pt idx="35">
                    <c:v>14</c:v>
                  </c:pt>
                  <c:pt idx="36">
                    <c:v>15</c:v>
                  </c:pt>
                  <c:pt idx="37">
                    <c:v>16</c:v>
                  </c:pt>
                  <c:pt idx="38">
                    <c:v>17</c:v>
                  </c:pt>
                  <c:pt idx="39">
                    <c:v>18</c:v>
                  </c:pt>
                  <c:pt idx="40">
                    <c:v>19</c:v>
                  </c:pt>
                  <c:pt idx="41">
                    <c:v>20</c:v>
                  </c:pt>
                  <c:pt idx="42">
                    <c:v>21</c:v>
                  </c:pt>
                  <c:pt idx="43">
                    <c:v>22</c:v>
                  </c:pt>
                  <c:pt idx="44">
                    <c:v>23</c:v>
                  </c:pt>
                  <c:pt idx="45">
                    <c:v>24</c:v>
                  </c:pt>
                </c:lvl>
                <c:lvl>
                  <c:pt idx="0">
                    <c:v>{breed attack-profiles}</c:v>
                  </c:pt>
                  <c:pt idx="22">
                    <c:v>{breed random-profiles}</c:v>
                  </c:pt>
                </c:lvl>
              </c:multiLvlStrCache>
            </c:multiLvlStrRef>
          </c:cat>
          <c:val>
            <c:numRef>
              <c:f>Sheet2!$B$4:$B$52</c:f>
              <c:numCache>
                <c:formatCode>General</c:formatCode>
                <c:ptCount val="46"/>
                <c:pt idx="0">
                  <c:v>1.4307432432432432</c:v>
                </c:pt>
                <c:pt idx="1">
                  <c:v>1.9358108108108107</c:v>
                </c:pt>
                <c:pt idx="2">
                  <c:v>2.2939189189189189</c:v>
                </c:pt>
                <c:pt idx="3">
                  <c:v>1.910472972972973</c:v>
                </c:pt>
                <c:pt idx="4">
                  <c:v>1.8520408163265305</c:v>
                </c:pt>
                <c:pt idx="5">
                  <c:v>1.8843537414965987</c:v>
                </c:pt>
                <c:pt idx="6">
                  <c:v>1.7825342465753424</c:v>
                </c:pt>
                <c:pt idx="7">
                  <c:v>1.6821428571428572</c:v>
                </c:pt>
                <c:pt idx="8">
                  <c:v>1.5393258426966292</c:v>
                </c:pt>
                <c:pt idx="9">
                  <c:v>1.5489795918367346</c:v>
                </c:pt>
                <c:pt idx="10">
                  <c:v>1.3340611353711791</c:v>
                </c:pt>
                <c:pt idx="11">
                  <c:v>1.4226804123711341</c:v>
                </c:pt>
                <c:pt idx="12">
                  <c:v>1.0796178343949046</c:v>
                </c:pt>
                <c:pt idx="13">
                  <c:v>1.2345132743362832</c:v>
                </c:pt>
                <c:pt idx="14">
                  <c:v>1.117283950617284</c:v>
                </c:pt>
                <c:pt idx="15">
                  <c:v>1.2254901960784315</c:v>
                </c:pt>
                <c:pt idx="16">
                  <c:v>0.87142857142857144</c:v>
                </c:pt>
                <c:pt idx="17">
                  <c:v>0.84210526315789469</c:v>
                </c:pt>
                <c:pt idx="18">
                  <c:v>0.3125</c:v>
                </c:pt>
                <c:pt idx="19">
                  <c:v>3</c:v>
                </c:pt>
                <c:pt idx="20">
                  <c:v>0.83333333333333337</c:v>
                </c:pt>
                <c:pt idx="21">
                  <c:v>0</c:v>
                </c:pt>
                <c:pt idx="22">
                  <c:v>-2.0270270270270271E-2</c:v>
                </c:pt>
                <c:pt idx="23">
                  <c:v>0.11486486486486487</c:v>
                </c:pt>
                <c:pt idx="24">
                  <c:v>-0.1554054054054054</c:v>
                </c:pt>
                <c:pt idx="25">
                  <c:v>-0.23648648648648649</c:v>
                </c:pt>
                <c:pt idx="26">
                  <c:v>-0.26101694915254237</c:v>
                </c:pt>
                <c:pt idx="27">
                  <c:v>-0.47440273037542663</c:v>
                </c:pt>
                <c:pt idx="28">
                  <c:v>-0.2620689655172414</c:v>
                </c:pt>
                <c:pt idx="29">
                  <c:v>-0.72340425531914898</c:v>
                </c:pt>
                <c:pt idx="30">
                  <c:v>-0.97047970479704793</c:v>
                </c:pt>
                <c:pt idx="31">
                  <c:v>-0.8666666666666667</c:v>
                </c:pt>
                <c:pt idx="32">
                  <c:v>-1.3201754385964912</c:v>
                </c:pt>
                <c:pt idx="33">
                  <c:v>-0.61458333333333337</c:v>
                </c:pt>
                <c:pt idx="34">
                  <c:v>-0.54545454545454541</c:v>
                </c:pt>
                <c:pt idx="35">
                  <c:v>-0.32258064516129031</c:v>
                </c:pt>
                <c:pt idx="36">
                  <c:v>-0.27906976744186046</c:v>
                </c:pt>
                <c:pt idx="37">
                  <c:v>-0.18518518518518517</c:v>
                </c:pt>
                <c:pt idx="38">
                  <c:v>-0.32258064516129031</c:v>
                </c:pt>
                <c:pt idx="39">
                  <c:v>-0.23529411764705882</c:v>
                </c:pt>
                <c:pt idx="40">
                  <c:v>-0.16666666666666666</c:v>
                </c:pt>
                <c:pt idx="41">
                  <c:v>0</c:v>
                </c:pt>
                <c:pt idx="42">
                  <c:v>-0.2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1265160"/>
        <c:axId val="611266336"/>
      </c:barChart>
      <c:catAx>
        <c:axId val="611265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6336"/>
        <c:crosses val="autoZero"/>
        <c:auto val="1"/>
        <c:lblAlgn val="ctr"/>
        <c:lblOffset val="100"/>
        <c:noMultiLvlLbl val="0"/>
      </c:catAx>
      <c:valAx>
        <c:axId val="61126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5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[Simulator smaller-netowork-1-table.csv]Sheet1!PivotTable1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Sheet1!$A$4:$A$52</c:f>
              <c:multiLvlStrCache>
                <c:ptCount val="4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1</c:v>
                  </c:pt>
                  <c:pt idx="23">
                    <c:v>2</c:v>
                  </c:pt>
                  <c:pt idx="24">
                    <c:v>3</c:v>
                  </c:pt>
                  <c:pt idx="25">
                    <c:v>4</c:v>
                  </c:pt>
                  <c:pt idx="26">
                    <c:v>5</c:v>
                  </c:pt>
                  <c:pt idx="27">
                    <c:v>6</c:v>
                  </c:pt>
                  <c:pt idx="28">
                    <c:v>7</c:v>
                  </c:pt>
                  <c:pt idx="29">
                    <c:v>8</c:v>
                  </c:pt>
                  <c:pt idx="30">
                    <c:v>9</c:v>
                  </c:pt>
                  <c:pt idx="31">
                    <c:v>10</c:v>
                  </c:pt>
                  <c:pt idx="32">
                    <c:v>11</c:v>
                  </c:pt>
                  <c:pt idx="33">
                    <c:v>12</c:v>
                  </c:pt>
                  <c:pt idx="34">
                    <c:v>13</c:v>
                  </c:pt>
                  <c:pt idx="35">
                    <c:v>14</c:v>
                  </c:pt>
                  <c:pt idx="36">
                    <c:v>15</c:v>
                  </c:pt>
                  <c:pt idx="37">
                    <c:v>16</c:v>
                  </c:pt>
                  <c:pt idx="38">
                    <c:v>17</c:v>
                  </c:pt>
                  <c:pt idx="39">
                    <c:v>18</c:v>
                  </c:pt>
                  <c:pt idx="40">
                    <c:v>19</c:v>
                  </c:pt>
                  <c:pt idx="41">
                    <c:v>20</c:v>
                  </c:pt>
                  <c:pt idx="42">
                    <c:v>21</c:v>
                  </c:pt>
                  <c:pt idx="43">
                    <c:v>22</c:v>
                  </c:pt>
                  <c:pt idx="44">
                    <c:v>23</c:v>
                  </c:pt>
                  <c:pt idx="45">
                    <c:v>24</c:v>
                  </c:pt>
                </c:lvl>
                <c:lvl>
                  <c:pt idx="0">
                    <c:v>{breed attack-profiles}</c:v>
                  </c:pt>
                  <c:pt idx="22">
                    <c:v>{breed random-profiles}</c:v>
                  </c:pt>
                </c:lvl>
              </c:multiLvlStrCache>
            </c:multiLvlStrRef>
          </c:cat>
          <c:val>
            <c:numRef>
              <c:f>Sheet1!$B$4:$B$52</c:f>
              <c:numCache>
                <c:formatCode>General</c:formatCode>
                <c:ptCount val="46"/>
                <c:pt idx="0">
                  <c:v>1.4307432432432432</c:v>
                </c:pt>
                <c:pt idx="1">
                  <c:v>3.3665540540540539</c:v>
                </c:pt>
                <c:pt idx="2">
                  <c:v>5.6604729729729728</c:v>
                </c:pt>
                <c:pt idx="3">
                  <c:v>7.5709459459459456</c:v>
                </c:pt>
                <c:pt idx="4">
                  <c:v>9.3673469387755102</c:v>
                </c:pt>
                <c:pt idx="5">
                  <c:v>11.251700680272108</c:v>
                </c:pt>
                <c:pt idx="6">
                  <c:v>12.981164383561644</c:v>
                </c:pt>
                <c:pt idx="7">
                  <c:v>14.283928571428572</c:v>
                </c:pt>
                <c:pt idx="8">
                  <c:v>15.410112359550562</c:v>
                </c:pt>
                <c:pt idx="9">
                  <c:v>16.440816326530612</c:v>
                </c:pt>
                <c:pt idx="10">
                  <c:v>17.406113537117903</c:v>
                </c:pt>
                <c:pt idx="11">
                  <c:v>18.087628865979383</c:v>
                </c:pt>
                <c:pt idx="12">
                  <c:v>18.515923566878982</c:v>
                </c:pt>
                <c:pt idx="13">
                  <c:v>18.646017699115045</c:v>
                </c:pt>
                <c:pt idx="14">
                  <c:v>18.746913580246915</c:v>
                </c:pt>
                <c:pt idx="15">
                  <c:v>19</c:v>
                </c:pt>
                <c:pt idx="16">
                  <c:v>19.085714285714285</c:v>
                </c:pt>
                <c:pt idx="17">
                  <c:v>19.05263157894737</c:v>
                </c:pt>
                <c:pt idx="18">
                  <c:v>18.25</c:v>
                </c:pt>
                <c:pt idx="19">
                  <c:v>19.625</c:v>
                </c:pt>
                <c:pt idx="20">
                  <c:v>20.166666666666668</c:v>
                </c:pt>
                <c:pt idx="21">
                  <c:v>19</c:v>
                </c:pt>
                <c:pt idx="22">
                  <c:v>-2.0270270270270271E-2</c:v>
                </c:pt>
                <c:pt idx="23">
                  <c:v>9.45945945945946E-2</c:v>
                </c:pt>
                <c:pt idx="24">
                  <c:v>-6.0810810810810814E-2</c:v>
                </c:pt>
                <c:pt idx="25">
                  <c:v>-0.29729729729729731</c:v>
                </c:pt>
                <c:pt idx="26">
                  <c:v>-0.55254237288135588</c:v>
                </c:pt>
                <c:pt idx="27">
                  <c:v>-1.0102389078498293</c:v>
                </c:pt>
                <c:pt idx="28">
                  <c:v>-1.2551724137931035</c:v>
                </c:pt>
                <c:pt idx="29">
                  <c:v>-1.9432624113475176</c:v>
                </c:pt>
                <c:pt idx="30">
                  <c:v>-2.8302583025830259</c:v>
                </c:pt>
                <c:pt idx="31">
                  <c:v>-3.6549019607843136</c:v>
                </c:pt>
                <c:pt idx="32">
                  <c:v>-4.9342105263157894</c:v>
                </c:pt>
                <c:pt idx="33">
                  <c:v>-5.442708333333333</c:v>
                </c:pt>
                <c:pt idx="34">
                  <c:v>-5.8116883116883118</c:v>
                </c:pt>
                <c:pt idx="35">
                  <c:v>-5.975806451612903</c:v>
                </c:pt>
                <c:pt idx="36">
                  <c:v>-6.0697674418604652</c:v>
                </c:pt>
                <c:pt idx="37">
                  <c:v>-5.7222222222222223</c:v>
                </c:pt>
                <c:pt idx="38">
                  <c:v>-5.5161290322580649</c:v>
                </c:pt>
                <c:pt idx="39">
                  <c:v>-5.7647058823529411</c:v>
                </c:pt>
                <c:pt idx="40">
                  <c:v>-4.666666666666667</c:v>
                </c:pt>
                <c:pt idx="41">
                  <c:v>-4.5999999999999996</c:v>
                </c:pt>
                <c:pt idx="42">
                  <c:v>-4.8</c:v>
                </c:pt>
                <c:pt idx="43">
                  <c:v>-3.5</c:v>
                </c:pt>
                <c:pt idx="44">
                  <c:v>-3.5</c:v>
                </c:pt>
                <c:pt idx="45">
                  <c:v>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1268296"/>
        <c:axId val="611265552"/>
      </c:barChart>
      <c:catAx>
        <c:axId val="611268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5552"/>
        <c:crosses val="autoZero"/>
        <c:auto val="1"/>
        <c:lblAlgn val="ctr"/>
        <c:lblOffset val="100"/>
        <c:noMultiLvlLbl val="0"/>
      </c:catAx>
      <c:valAx>
        <c:axId val="61126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8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[Simulator smaller-netowork-1-table.csv]Sheet4!PivotTable4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Sheet4!$A$4:$A$28</c:f>
              <c:strCach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strCache>
            </c:strRef>
          </c:cat>
          <c:val>
            <c:numRef>
              <c:f>Sheet4!$B$4:$B$28</c:f>
              <c:numCache>
                <c:formatCode>General</c:formatCode>
                <c:ptCount val="24"/>
                <c:pt idx="0">
                  <c:v>0.70523648648648651</c:v>
                </c:pt>
                <c:pt idx="1">
                  <c:v>1.7305743243243243</c:v>
                </c:pt>
                <c:pt idx="2">
                  <c:v>2.7998310810810811</c:v>
                </c:pt>
                <c:pt idx="3">
                  <c:v>3.6368243243243241</c:v>
                </c:pt>
                <c:pt idx="4">
                  <c:v>4.3989813242784379</c:v>
                </c:pt>
                <c:pt idx="5">
                  <c:v>5.131175468483816</c:v>
                </c:pt>
                <c:pt idx="6">
                  <c:v>5.8874570446735399</c:v>
                </c:pt>
                <c:pt idx="7">
                  <c:v>6.1414590747330964</c:v>
                </c:pt>
                <c:pt idx="8">
                  <c:v>6.2221189591078065</c:v>
                </c:pt>
                <c:pt idx="9">
                  <c:v>6.1920000000000002</c:v>
                </c:pt>
                <c:pt idx="10">
                  <c:v>6.2603938730853388</c:v>
                </c:pt>
                <c:pt idx="11">
                  <c:v>6.3834196891191706</c:v>
                </c:pt>
                <c:pt idx="12">
                  <c:v>6.469453376205788</c:v>
                </c:pt>
                <c:pt idx="13">
                  <c:v>5.7637130801687766</c:v>
                </c:pt>
                <c:pt idx="14">
                  <c:v>5.9670658682634734</c:v>
                </c:pt>
                <c:pt idx="15">
                  <c:v>6.2857142857142856</c:v>
                </c:pt>
                <c:pt idx="16">
                  <c:v>7.5303030303030303</c:v>
                </c:pt>
                <c:pt idx="17">
                  <c:v>7.333333333333333</c:v>
                </c:pt>
                <c:pt idx="18">
                  <c:v>8.4285714285714288</c:v>
                </c:pt>
                <c:pt idx="19">
                  <c:v>6.166666666666667</c:v>
                </c:pt>
                <c:pt idx="20">
                  <c:v>4.5625</c:v>
                </c:pt>
                <c:pt idx="21">
                  <c:v>4</c:v>
                </c:pt>
                <c:pt idx="22">
                  <c:v>-3.5</c:v>
                </c:pt>
                <c:pt idx="23">
                  <c:v>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1269080"/>
        <c:axId val="611261632"/>
      </c:barChart>
      <c:catAx>
        <c:axId val="611269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1632"/>
        <c:crosses val="autoZero"/>
        <c:auto val="1"/>
        <c:lblAlgn val="ctr"/>
        <c:lblOffset val="100"/>
        <c:noMultiLvlLbl val="0"/>
      </c:catAx>
      <c:valAx>
        <c:axId val="61126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69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3</cp:revision>
  <dcterms:created xsi:type="dcterms:W3CDTF">2015-06-10T19:10:00Z</dcterms:created>
  <dcterms:modified xsi:type="dcterms:W3CDTF">2015-06-10T19:21:00Z</dcterms:modified>
</cp:coreProperties>
</file>