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proofErr w:type="spellStart"/>
      <w:r w:rsidR="00490A49">
        <w:rPr>
          <w:rFonts w:eastAsiaTheme="minorEastAsia"/>
        </w:rPr>
        <w:t>Tarbiat</w:t>
      </w:r>
      <w:proofErr w:type="spellEnd"/>
      <w:r w:rsidR="00490A49">
        <w:rPr>
          <w:rFonts w:eastAsiaTheme="minorEastAsia"/>
        </w:rPr>
        <w:t xml:space="preserve"> </w:t>
      </w:r>
      <w:proofErr w:type="spellStart"/>
      <w:r w:rsidR="00490A49">
        <w:rPr>
          <w:rFonts w:eastAsiaTheme="minorEastAsia"/>
        </w:rPr>
        <w:t>Modares</w:t>
      </w:r>
      <w:proofErr w:type="spellEnd"/>
      <w:r w:rsidR="00490A49">
        <w:rPr>
          <w:rFonts w:eastAsiaTheme="minorEastAsia"/>
        </w:rPr>
        <w:t xml:space="preserve">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proofErr w:type="spellStart"/>
      <w:r w:rsidR="009C1982">
        <w:rPr>
          <w:rFonts w:eastAsiaTheme="minorEastAsia"/>
        </w:rPr>
        <w:t>Tarbiat</w:t>
      </w:r>
      <w:proofErr w:type="spellEnd"/>
      <w:r w:rsidR="009C1982">
        <w:rPr>
          <w:rFonts w:eastAsiaTheme="minorEastAsia"/>
        </w:rPr>
        <w:t xml:space="preserve"> </w:t>
      </w:r>
      <w:proofErr w:type="spellStart"/>
      <w:r w:rsidR="009C1982">
        <w:rPr>
          <w:rFonts w:eastAsiaTheme="minorEastAsia"/>
        </w:rPr>
        <w:t>Modares</w:t>
      </w:r>
      <w:proofErr w:type="spellEnd"/>
      <w:r w:rsidR="009C1982">
        <w:rPr>
          <w:rFonts w:eastAsiaTheme="minorEastAsia"/>
        </w:rPr>
        <w:t xml:space="preserve">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BD10A4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 </w:instrTex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EN.CITE.DATA </w:instrText>
      </w:r>
      <w:r w:rsidR="008402E7">
        <w:fldChar w:fldCharType="end"/>
      </w:r>
      <w:r w:rsidR="008402E7">
        <w:fldChar w:fldCharType="separate"/>
      </w:r>
      <w:r w:rsidR="008402E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205A16F" w:rsidR="006A06F7" w:rsidRDefault="006A06F7" w:rsidP="006A06F7">
      <w:pPr>
        <w:pStyle w:val="ParaContinue"/>
      </w:pPr>
      <w:r>
        <w:t xml:space="preserve">We evaluate the proposed method on two </w:t>
      </w:r>
      <w:r w:rsidR="00CA1A5A">
        <w:t>instances</w:t>
      </w:r>
      <w:r>
        <w:t xml:space="preserve"> of </w:t>
      </w:r>
      <w:proofErr w:type="spellStart"/>
      <w:r>
        <w:t>DeltaIoT</w:t>
      </w:r>
      <w:proofErr w:type="spellEnd"/>
      <w:r>
        <w:t xml:space="preserve"> </w:t>
      </w:r>
      <w:r w:rsidR="000D3815">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DA4F05">
        <w:rPr>
          <w:noProof/>
        </w:rPr>
        <w:t>[20]</w:t>
      </w:r>
      <w:r w:rsidR="000D3815">
        <w:fldChar w:fldCharType="end"/>
      </w:r>
      <w:r>
        <w:t xml:space="preserve">. </w:t>
      </w:r>
      <w:proofErr w:type="spellStart"/>
      <w:r>
        <w:t>DeltaIoT</w:t>
      </w:r>
      <w:proofErr w:type="spellEnd"/>
      <w:r>
        <w:t xml:space="preserve">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w:t>
      </w:r>
      <w:proofErr w:type="spellStart"/>
      <w:r>
        <w:t>DeltaIoT</w:t>
      </w:r>
      <w:proofErr w:type="spellEnd"/>
      <w:r>
        <w:t xml:space="preserve">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468170B1"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C15EA4">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C15EA4">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2E106CA7"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C15EA4">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C15EA4">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C15EA4">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C15EA4">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spellStart"/>
      <w:proofErr w:type="gramStart"/>
      <w:r w:rsidR="00D811CF" w:rsidRPr="00C375CE">
        <w:t>s,a</w:t>
      </w:r>
      <w:proofErr w:type="spellEnd"/>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w:t>
      </w:r>
      <w:proofErr w:type="spellStart"/>
      <w:r w:rsidRPr="00C375CE">
        <w:t>θ</w:t>
      </w:r>
      <w:r w:rsidRPr="006D44DE">
        <w:rPr>
          <w:vertAlign w:val="subscript"/>
        </w:rPr>
        <w:t>i</w:t>
      </w:r>
      <w:proofErr w:type="spellEnd"/>
      <w:r w:rsidRPr="00C375CE">
        <w:t xml:space="preserve"> the parameters of the Q-network at iteration </w:t>
      </w:r>
      <w:proofErr w:type="spellStart"/>
      <w:r w:rsidRPr="00C375CE">
        <w:t>i</w:t>
      </w:r>
      <w:proofErr w:type="spellEnd"/>
      <w:r w:rsidRPr="00C375CE">
        <w:t xml:space="preserve">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w:t>
      </w:r>
      <w:r w:rsidR="00455714" w:rsidRPr="006D44DE">
        <w:rPr>
          <w:vertAlign w:val="subscript"/>
        </w:rPr>
        <w:t>i</w:t>
      </w:r>
      <w:proofErr w:type="spellEnd"/>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353B3A73"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C15EA4">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proofErr w:type="spellStart"/>
      <w:r w:rsidR="001F6846" w:rsidRPr="001F6846">
        <w:t>ActivFORMS</w:t>
      </w:r>
      <w:proofErr w:type="spellEnd"/>
      <w:r w:rsidR="001F6846" w:rsidRPr="001F6846">
        <w:t xml:space="preserve"> execution engine</w:t>
      </w:r>
      <w:r w:rsidR="001F6846">
        <w:t xml:space="preserve"> </w:t>
      </w:r>
      <w:r w:rsidR="00E3676B">
        <w:fldChar w:fldCharType="begin"/>
      </w:r>
      <w:r w:rsidR="00C15EA4">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C15EA4">
        <w:rPr>
          <w:noProof/>
        </w:rPr>
        <w:t>[25]</w:t>
      </w:r>
      <w:r w:rsidR="00E3676B">
        <w:fldChar w:fldCharType="end"/>
      </w:r>
      <w:r w:rsidR="00E3676B">
        <w:t>.</w:t>
      </w:r>
      <w:r w:rsidR="002142C7">
        <w:t xml:space="preserve"> </w:t>
      </w:r>
      <w:proofErr w:type="spellStart"/>
      <w:r w:rsidR="002142C7" w:rsidRPr="002142C7">
        <w:t>ActivFORMS</w:t>
      </w:r>
      <w:proofErr w:type="spellEnd"/>
      <w:r w:rsidR="002142C7" w:rsidRPr="002142C7">
        <w:t xml:space="preserve">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04E6D4C5"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 </w:instrText>
      </w:r>
      <w:r w:rsidR="00C15EA4">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EN.CITE.DATA </w:instrText>
      </w:r>
      <w:r w:rsidR="00C15EA4">
        <w:fldChar w:fldCharType="end"/>
      </w:r>
      <w:r w:rsidR="00A97EC5">
        <w:fldChar w:fldCharType="separate"/>
      </w:r>
      <w:r w:rsidR="00C15EA4">
        <w:rPr>
          <w:noProof/>
        </w:rPr>
        <w:t>[17, 18,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61EF71B8" w:rsidR="005C7750" w:rsidRDefault="005C7750" w:rsidP="005C7750">
      <w:pPr>
        <w:pStyle w:val="Para"/>
        <w:rPr>
          <w:lang w:eastAsia="en-US"/>
        </w:rPr>
      </w:pPr>
      <w:r>
        <w:rPr>
          <w:lang w:eastAsia="en-US"/>
        </w:rPr>
        <w:t xml:space="preserve">In </w:t>
      </w:r>
      <w:r w:rsidR="00991A46">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 </w:instrText>
      </w:r>
      <w:r w:rsidR="00C15EA4">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991A46">
        <w:rPr>
          <w:lang w:eastAsia="en-US"/>
        </w:rPr>
      </w:r>
      <w:r w:rsidR="00991A46">
        <w:rPr>
          <w:lang w:eastAsia="en-US"/>
        </w:rPr>
        <w:fldChar w:fldCharType="separate"/>
      </w:r>
      <w:r w:rsidR="00C15EA4">
        <w:rPr>
          <w:noProof/>
          <w:lang w:eastAsia="en-US"/>
        </w:rPr>
        <w:t>[18, 26, 27]</w:t>
      </w:r>
      <w:r w:rsidR="00991A46">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86976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C15EA4">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C15EA4">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proofErr w:type="gramStart"/>
      <w:r w:rsidR="00EB4C1A" w:rsidRPr="00EB4C1A">
        <w:rPr>
          <w:lang w:eastAsia="en-US"/>
        </w:rPr>
        <w:t>show</w:t>
      </w:r>
      <w:r w:rsidR="00315A59">
        <w:rPr>
          <w:lang w:eastAsia="en-US"/>
        </w:rPr>
        <w:t>s</w:t>
      </w:r>
      <w:proofErr w:type="gramEnd"/>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18A35376"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 </w:instrText>
      </w:r>
      <w:r w:rsidR="00C15EA4">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EN.CITE.DATA </w:instrText>
      </w:r>
      <w:r w:rsidR="00C15EA4">
        <w:rPr>
          <w:lang w:eastAsia="en-US"/>
        </w:rPr>
      </w:r>
      <w:r w:rsidR="00C15EA4">
        <w:rPr>
          <w:lang w:eastAsia="en-US"/>
        </w:rPr>
        <w:fldChar w:fldCharType="end"/>
      </w:r>
      <w:r>
        <w:rPr>
          <w:lang w:eastAsia="en-US"/>
        </w:rPr>
      </w:r>
      <w:r>
        <w:rPr>
          <w:lang w:eastAsia="en-US"/>
        </w:rPr>
        <w:fldChar w:fldCharType="separate"/>
      </w:r>
      <w:r w:rsidR="00C15EA4">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1DB8CBA0"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57EDCF1"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11EF309B"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C15EA4">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C15EA4">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w:t>
      </w:r>
      <w:proofErr w:type="spellStart"/>
      <w:r w:rsidR="00F86BA5" w:rsidRPr="00F86BA5">
        <w:rPr>
          <w:lang w:eastAsia="en-US"/>
        </w:rPr>
        <w:t>eg</w:t>
      </w:r>
      <w:proofErr w:type="spellEnd"/>
      <w:r w:rsidR="00F86BA5" w:rsidRPr="00F86BA5">
        <w:rPr>
          <w:lang w:eastAsia="en-US"/>
        </w:rPr>
        <w:t xml:space="preserve">,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6E0A0D8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C15EA4">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11C4927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C15EA4">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59AB0280"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C15EA4">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09D2265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C15EA4">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C15EA4">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037BD2EB"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C15EA4">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59B0F8EE"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C15EA4">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783873B8"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C15EA4">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C15EA4">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3E2761DB"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C15EA4">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C15EA4">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551CF4"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C15EA4">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C15EA4">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20635A3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BB413D">
        <w:t xml:space="preserve">Figure </w:t>
      </w:r>
      <w:r w:rsidR="00BB413D">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588B5ED7" w:rsidR="00BF1377" w:rsidRDefault="00BF1377" w:rsidP="004A74E5">
      <w:pPr>
        <w:pStyle w:val="FigureCaption"/>
      </w:pPr>
      <w:bookmarkStart w:id="4" w:name="_Ref143854003"/>
      <w:r>
        <w:t xml:space="preserve">Figure </w:t>
      </w:r>
      <w:fldSimple w:instr=" SEQ Figure \* ARABIC ">
        <w:r w:rsidR="00BB413D">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418BF0F3"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BB413D">
        <w:t xml:space="preserve">Figure </w:t>
      </w:r>
      <w:r w:rsidR="00BB413D">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proofErr w:type="spellStart"/>
      <w:r w:rsidR="00873FA6" w:rsidRPr="00873FA6">
        <w:rPr>
          <w:lang w:eastAsia="en-US"/>
        </w:rPr>
        <w:t>mape</w:t>
      </w:r>
      <w:proofErr w:type="spellEnd"/>
      <w:r w:rsidR="00873FA6" w:rsidRPr="00873FA6">
        <w:rPr>
          <w:lang w:eastAsia="en-US"/>
        </w:rPr>
        <w:t xml:space="preserve">-k loop. The training DRL module sits on top of the </w:t>
      </w:r>
      <w:proofErr w:type="spellStart"/>
      <w:r w:rsidR="00873FA6" w:rsidRPr="00873FA6">
        <w:rPr>
          <w:lang w:eastAsia="en-US"/>
        </w:rPr>
        <w:t>mape</w:t>
      </w:r>
      <w:proofErr w:type="spellEnd"/>
      <w:r w:rsidR="00873FA6" w:rsidRPr="00873FA6">
        <w:rPr>
          <w:lang w:eastAsia="en-US"/>
        </w:rPr>
        <w:t xml:space="preserve">-k loop. The runtime stage works in cycles, each representing an opportunity for the system to perform adaptation. The training process is performed for a certain number of cycles. At the beginning of each training cycle, the monitor component of the </w:t>
      </w:r>
      <w:proofErr w:type="spellStart"/>
      <w:r w:rsidR="00873FA6" w:rsidRPr="00873FA6">
        <w:rPr>
          <w:lang w:eastAsia="en-US"/>
        </w:rPr>
        <w:t>mape</w:t>
      </w:r>
      <w:proofErr w:type="spellEnd"/>
      <w:r w:rsidR="00873FA6" w:rsidRPr="00873FA6">
        <w:rPr>
          <w:lang w:eastAsia="en-US"/>
        </w:rPr>
        <w:t xml:space="preserve">-k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proofErr w:type="gramStart"/>
      <w:r w:rsidR="00EE11AA">
        <w:rPr>
          <w:lang w:eastAsia="en-US"/>
        </w:rPr>
        <w:t>send</w:t>
      </w:r>
      <w:proofErr w:type="gramEnd"/>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D630586" w:rsidR="00C71641" w:rsidRPr="00C71641" w:rsidRDefault="00C71641" w:rsidP="004A74E5">
      <w:pPr>
        <w:pStyle w:val="FigureCaption"/>
        <w:rPr>
          <w:lang w:eastAsia="en-US"/>
        </w:rPr>
      </w:pPr>
      <w:bookmarkStart w:id="5" w:name="_Ref143854235"/>
      <w:r>
        <w:t xml:space="preserve">Figure </w:t>
      </w:r>
      <w:fldSimple w:instr=" SEQ Figure \* ARABIC ">
        <w:r w:rsidR="00BB413D">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12D9CFD2"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7B4C2D3B" w:rsidR="00083C1E" w:rsidRDefault="00083C1E" w:rsidP="00083C1E">
      <w:pPr>
        <w:pStyle w:val="FigureCaption"/>
      </w:pPr>
      <w:r>
        <w:t xml:space="preserve">Figure </w:t>
      </w:r>
      <w:fldSimple w:instr=" SEQ Figure \* ARABIC ">
        <w:r w:rsidR="00BB413D">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2BDAD15C"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w:t>
      </w:r>
      <w:proofErr w:type="spellStart"/>
      <w:r>
        <w:t>ActivFORMS</w:t>
      </w:r>
      <w:proofErr w:type="spellEnd"/>
      <w:r>
        <w:t xml:space="preserve"> execution engine</w:t>
      </w:r>
      <w:r w:rsidR="00366179">
        <w:t xml:space="preserve"> </w:t>
      </w:r>
      <w:r w:rsidR="00366179">
        <w:fldChar w:fldCharType="begin"/>
      </w:r>
      <w:r w:rsidR="00C15EA4">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C15EA4">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w:t>
      </w:r>
      <w:proofErr w:type="spellStart"/>
      <w:r>
        <w:t>Uppaal</w:t>
      </w:r>
      <w:proofErr w:type="spellEnd"/>
      <w:r>
        <w:t xml:space="preserve">-SMC </w:t>
      </w:r>
      <w:r w:rsidR="003343A6">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C15EA4">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2ECD2461"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048A07A"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BB413D">
        <w:rPr>
          <w:cs/>
        </w:rPr>
        <w:t>‎</w:t>
      </w:r>
      <w:r w:rsidR="00BB413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0F0B9BA1" w:rsidR="00B86964" w:rsidRDefault="00B86964" w:rsidP="00B86964">
      <w:pPr>
        <w:pStyle w:val="PostHeadPara"/>
      </w:pPr>
      <w:proofErr w:type="spellStart"/>
      <w:r>
        <w:t>DeltaIoT</w:t>
      </w:r>
      <w:proofErr w:type="spellEnd"/>
      <w:r>
        <w:t xml:space="preserve"> is an Internet-of-Things application developed by </w:t>
      </w:r>
      <w:proofErr w:type="spellStart"/>
      <w:r w:rsidRPr="00BE2FD6">
        <w:t>VersaSense</w:t>
      </w:r>
      <w:proofErr w:type="spellEnd"/>
      <w:r>
        <w:rPr>
          <w:rStyle w:val="FootnoteReference"/>
        </w:rPr>
        <w:footnoteReference w:id="2"/>
      </w:r>
      <w:r>
        <w:t xml:space="preserve">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t xml:space="preserve"> (</w:t>
      </w:r>
      <w:r>
        <w:fldChar w:fldCharType="begin"/>
      </w:r>
      <w:r>
        <w:instrText xml:space="preserve"> REF _Ref143857218 \h </w:instrText>
      </w:r>
      <w:r>
        <w:fldChar w:fldCharType="separate"/>
      </w:r>
      <w:r w:rsidR="00BB413D">
        <w:t xml:space="preserve">Figure </w:t>
      </w:r>
      <w:r w:rsidR="00BB413D">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proofErr w:type="spellStart"/>
      <w:r>
        <w:t>DeltaIoT</w:t>
      </w:r>
      <w:proofErr w:type="spellEnd"/>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w:t>
      </w:r>
      <w:proofErr w:type="spellStart"/>
      <w:r w:rsidRPr="000355F0">
        <w:rPr>
          <w:lang w:eastAsia="en-US"/>
        </w:rPr>
        <w:t>DelatIoT</w:t>
      </w:r>
      <w:proofErr w:type="spellEnd"/>
      <w:r w:rsidRPr="000355F0">
        <w:rPr>
          <w:lang w:eastAsia="en-US"/>
        </w:rPr>
        <w:t xml:space="preserve">, Network interference varies between −40 dB and +15 dB and traffic loads range from 0 to 10 messages per mote. </w:t>
      </w:r>
    </w:p>
    <w:p w14:paraId="070CD573" w14:textId="29D7A76F" w:rsidR="00B86964" w:rsidRPr="000839DD" w:rsidRDefault="00B86964" w:rsidP="00B86964">
      <w:pPr>
        <w:pStyle w:val="Para"/>
      </w:pPr>
      <w:r w:rsidRPr="0037239D">
        <w:t xml:space="preserve">We </w:t>
      </w:r>
      <w:r>
        <w:t>use</w:t>
      </w:r>
      <w:r w:rsidRPr="0037239D">
        <w:t xml:space="preserve"> two instances of </w:t>
      </w:r>
      <w:proofErr w:type="spellStart"/>
      <w:r w:rsidRPr="0037239D">
        <w:t>DeltaIoT</w:t>
      </w:r>
      <w:proofErr w:type="spellEnd"/>
      <w:r w:rsidRPr="0037239D">
        <w:t xml:space="preserve">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BB413D" w:rsidRPr="00D703B3">
        <w:t xml:space="preserve">Figure </w:t>
      </w:r>
      <w:r w:rsidR="00BB413D">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069A24CC" w:rsidR="00B86964" w:rsidRDefault="00B86964" w:rsidP="00B86964">
      <w:pPr>
        <w:pStyle w:val="FigureCaption"/>
      </w:pPr>
      <w:bookmarkStart w:id="6" w:name="_Ref143857218"/>
      <w:r>
        <w:t xml:space="preserve">Figure </w:t>
      </w:r>
      <w:fldSimple w:instr=" SEQ Figure \* ARABIC ">
        <w:r w:rsidR="00BB413D">
          <w:rPr>
            <w:noProof/>
          </w:rPr>
          <w:t>4</w:t>
        </w:r>
      </w:fldSimple>
      <w:bookmarkEnd w:id="6"/>
      <w:r>
        <w:t xml:space="preserve">: DeltaIoTv1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376EA61F" w:rsidR="00F0587A" w:rsidRDefault="00B86964" w:rsidP="00F0587A">
      <w:pPr>
        <w:pStyle w:val="FigureCaption"/>
      </w:pPr>
      <w:bookmarkStart w:id="7" w:name="_Ref143853987"/>
      <w:r w:rsidRPr="00D703B3">
        <w:t xml:space="preserve">Figure </w:t>
      </w:r>
      <w:fldSimple w:instr=" SEQ Figure \* ARABIC ">
        <w:r w:rsidR="00BB413D">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50A5678" w14:textId="77777777" w:rsidR="00F0587A" w:rsidRDefault="00F0587A" w:rsidP="00F0587A">
      <w:pPr>
        <w:pStyle w:val="Para"/>
        <w:rPr>
          <w:lang w:eastAsia="en-US"/>
        </w:rPr>
      </w:pPr>
      <w:r>
        <w:rPr>
          <w:lang w:eastAsia="en-US"/>
        </w:rPr>
        <w:t xml:space="preserve">(3) Optimization goals, an optimization goal states that some value of a quality property of the system should be minimized (or maximized). the satisfaction of an optimization goal </w:t>
      </w:r>
      <w:proofErr w:type="spellStart"/>
      <w:r>
        <w:rPr>
          <w:lang w:eastAsia="en-US"/>
        </w:rPr>
        <w:t>o</w:t>
      </w:r>
      <w:proofErr w:type="spellEnd"/>
      <w:r>
        <w:rPr>
          <w:lang w:eastAsia="en-US"/>
        </w:rPr>
        <w:t xml:space="preserve"> </w:t>
      </w:r>
      <w:r>
        <w:rPr>
          <w:rFonts w:ascii="Cambria Math" w:hAnsi="Cambria Math" w:cs="Cambria Math"/>
          <w:lang w:eastAsia="en-US"/>
        </w:rPr>
        <w:t>∈</w:t>
      </w:r>
      <w:r>
        <w:rPr>
          <w:lang w:eastAsia="en-US"/>
        </w:rPr>
        <w:t xml:space="preserve"> O for any quality value q is defined by equations 5 and 6: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1</m:t>
            </m:r>
          </m:sub>
        </m:sSub>
      </m:oMath>
    </w:p>
    <w:p w14:paraId="08A41E27" w14:textId="77777777" w:rsidR="00F0587A" w:rsidRDefault="00F0587A" w:rsidP="00F0587A">
      <w:pPr>
        <w:pStyle w:val="Para"/>
        <w:ind w:firstLine="0"/>
        <w:rPr>
          <w:lang w:eastAsia="en-US"/>
        </w:rPr>
      </w:pPr>
      <w:r>
        <w:rPr>
          <w:lang w:eastAsia="en-US"/>
        </w:rPr>
        <w:cr/>
      </w:r>
    </w:p>
    <w:p w14:paraId="1B256881" w14:textId="77777777" w:rsidR="00F0587A" w:rsidRDefault="00F0587A" w:rsidP="00F0587A">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min</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5)</w:t>
      </w:r>
    </w:p>
    <w:p w14:paraId="1B552F44" w14:textId="77F18623" w:rsidR="00F712A0" w:rsidRDefault="00F0587A" w:rsidP="00F20D96">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w:t>
      </w:r>
      <w:r>
        <w:rPr>
          <w:rFonts w:ascii="Cambria Math" w:hAnsi="Cambria Math"/>
          <w:sz w:val="16"/>
          <w:szCs w:val="16"/>
          <w:vertAlign w:val="subscript"/>
        </w:rPr>
        <w:t>ax</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6)</w:t>
      </w:r>
    </w:p>
    <w:p w14:paraId="57B6A05D" w14:textId="6AD631FE" w:rsidR="00F712A0" w:rsidRPr="00E7508C" w:rsidRDefault="00F712A0" w:rsidP="00F712A0">
      <w:pPr>
        <w:pStyle w:val="Para"/>
      </w:pPr>
      <w:r>
        <w:fldChar w:fldCharType="begin"/>
      </w:r>
      <w:r>
        <w:instrText xml:space="preserve"> REF _Ref143862663 \h </w:instrText>
      </w:r>
      <w:r>
        <w:fldChar w:fldCharType="separate"/>
      </w:r>
      <w:r w:rsidR="00BB413D" w:rsidRPr="003C0A5C">
        <w:t xml:space="preserve">Table </w:t>
      </w:r>
      <w:r w:rsidR="00BB413D">
        <w:rPr>
          <w:noProof/>
        </w:rPr>
        <w:t>1</w:t>
      </w:r>
      <w:r>
        <w:fldChar w:fldCharType="end"/>
      </w:r>
      <w:r w:rsidRPr="00C17503">
        <w:t xml:space="preserve"> shows the adaptation goals used for the evaluation of </w:t>
      </w:r>
      <w:proofErr w:type="spellStart"/>
      <w:r w:rsidRPr="00C17503">
        <w:t>DeltaIoT</w:t>
      </w:r>
      <w:proofErr w:type="spellEnd"/>
      <w:r w:rsidRPr="00C17503">
        <w:t>: TTS (2 Threshold goals and 1 Set-point goal)</w:t>
      </w:r>
      <w:r>
        <w:t>, TTO (2 Threshold goals and 1 optimization goal)</w:t>
      </w:r>
      <w:r w:rsidRPr="00C17503">
        <w:t>.</w:t>
      </w:r>
    </w:p>
    <w:p w14:paraId="14330068" w14:textId="3F0EAEE0" w:rsidR="00F712A0" w:rsidRPr="003C0A5C" w:rsidRDefault="00F712A0" w:rsidP="00F712A0">
      <w:pPr>
        <w:pStyle w:val="TableCaption"/>
      </w:pPr>
      <w:bookmarkStart w:id="8" w:name="_Ref143862663"/>
      <w:r w:rsidRPr="003C0A5C">
        <w:t xml:space="preserve">Table </w:t>
      </w:r>
      <w:fldSimple w:instr=" SEQ Table \* ARABIC ">
        <w:r w:rsidR="00BB413D">
          <w:rPr>
            <w:noProof/>
          </w:rPr>
          <w:t>1</w:t>
        </w:r>
      </w:fldSimple>
      <w:bookmarkEnd w:id="8"/>
      <w:r w:rsidRPr="003C0A5C">
        <w:t>: Overview of adaptation goals used for the evaluation of DeltaIoTv1</w:t>
      </w:r>
      <w:r>
        <w:t xml:space="preserve"> and DeltaIoTv2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77777777" w:rsidR="00F712A0" w:rsidRPr="003C0A5C" w:rsidRDefault="00F712A0" w:rsidP="00FC1C6F">
            <w:pPr>
              <w:pStyle w:val="ParaContinue"/>
            </w:pPr>
            <w:r w:rsidRPr="003C0A5C">
              <w:t>TT</w:t>
            </w:r>
            <w:r>
              <w:t>O</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77777777" w:rsidR="00F712A0" w:rsidRPr="003C0A5C" w:rsidRDefault="00F712A0" w:rsidP="00FC1C6F">
            <w:pPr>
              <w:pStyle w:val="ParaContinue"/>
            </w:pPr>
            <w:r w:rsidRPr="003C0A5C">
              <w:t>T2: LA &lt; 15%</w:t>
            </w:r>
          </w:p>
          <w:p w14:paraId="11906E9C" w14:textId="77777777" w:rsidR="00F712A0" w:rsidRPr="003C0A5C" w:rsidRDefault="00F712A0" w:rsidP="00FC1C6F">
            <w:pPr>
              <w:pStyle w:val="ParaContinue"/>
            </w:pPr>
            <w:r>
              <w:t>O</w:t>
            </w:r>
            <w:r w:rsidRPr="003C0A5C">
              <w:t xml:space="preserve">1: </w:t>
            </w:r>
            <w:r>
              <w:t>Minimize EC</w:t>
            </w: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77777777" w:rsidR="00F712A0" w:rsidRPr="003C0A5C" w:rsidRDefault="00F712A0" w:rsidP="00FC1C6F">
            <w:pPr>
              <w:pStyle w:val="ParaContinue"/>
            </w:pPr>
            <w:r w:rsidRPr="003C0A5C">
              <w:t>T2: LA &lt; 15%</w:t>
            </w:r>
          </w:p>
          <w:p w14:paraId="1F5D5775" w14:textId="77777777" w:rsidR="00F712A0" w:rsidRPr="003C0A5C" w:rsidRDefault="00F712A0" w:rsidP="00FC1C6F">
            <w:pPr>
              <w:pStyle w:val="ParaContinue"/>
            </w:pPr>
            <w:r>
              <w:t>O1: Minimize EC</w:t>
            </w: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49B91A80"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9465C6">
        <w:t xml:space="preserve"> </w:t>
      </w:r>
      <w:r w:rsidR="001834A5">
        <w:fldChar w:fldCharType="begin"/>
      </w:r>
      <w:r w:rsidR="001834A5">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1834A5">
        <w:fldChar w:fldCharType="separate"/>
      </w:r>
      <w:r w:rsidR="001834A5">
        <w:rPr>
          <w:noProof/>
        </w:rPr>
        <w:t>[18]</w:t>
      </w:r>
      <w:r w:rsidR="001834A5">
        <w:fldChar w:fldCharType="end"/>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w:lastRenderedPageBreak/>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7B736598"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BB413D" w:rsidRPr="005C483C">
        <w:t xml:space="preserve">Table </w:t>
      </w:r>
      <w:r w:rsidR="00BB413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BB413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BB413D">
        <w:t xml:space="preserve">Figure </w:t>
      </w:r>
      <w:r w:rsidR="00BB413D">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BB413D">
        <w:t xml:space="preserve">Figure </w:t>
      </w:r>
      <w:r w:rsidR="00BB413D">
        <w:rPr>
          <w:noProof/>
        </w:rPr>
        <w:t>7</w:t>
      </w:r>
      <w:r w:rsidR="00DA36A5">
        <w:fldChar w:fldCharType="end"/>
      </w:r>
      <w:r w:rsidR="001B0C80">
        <w:t xml:space="preserve"> </w:t>
      </w:r>
      <w:r w:rsidR="00DD40F0" w:rsidRPr="00434FC1">
        <w:t>show the result</w:t>
      </w:r>
      <w:r w:rsidR="00600264">
        <w:t>s with respect to quality properties</w:t>
      </w:r>
      <w:r w:rsidR="00DD40F0" w:rsidRPr="00434FC1">
        <w:t>.</w:t>
      </w:r>
    </w:p>
    <w:p w14:paraId="55B79E28" w14:textId="77777777" w:rsidR="00BB413D" w:rsidRDefault="00AA5726" w:rsidP="00BB413D">
      <w:pPr>
        <w:pStyle w:val="Para"/>
        <w:rPr>
          <w:noProof/>
        </w:rPr>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 xml:space="preserve">model and there is no previous model to compare it with, it is saved as the best model obtained so far. Then a second evaluation is performed </w:t>
      </w:r>
      <w:r w:rsidR="00717BA8" w:rsidRPr="00717BA8">
        <w:lastRenderedPageBreak/>
        <w:t>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BB413D">
        <w:t xml:space="preserve">Figure </w:t>
      </w:r>
      <w:r w:rsidR="00BB413D">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BB413D">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BB413D">
        <w:t xml:space="preserve">Figure </w:t>
      </w:r>
      <w:r w:rsidR="00BB413D">
        <w:rPr>
          <w:noProof/>
        </w:rPr>
        <w:t>6</w:t>
      </w:r>
      <w:r w:rsidR="00220ADD">
        <w:fldChar w:fldCharType="end"/>
      </w:r>
      <w:r w:rsidR="00220ADD">
        <w:fldChar w:fldCharType="begin"/>
      </w:r>
      <w:r w:rsidR="00220ADD">
        <w:instrText xml:space="preserve"> REF _Ref152320831 \h </w:instrText>
      </w:r>
      <w:r w:rsidR="00220ADD">
        <w:fldChar w:fldCharType="separate"/>
      </w:r>
      <w:r w:rsidR="00BB413D">
        <w:t xml:space="preserve">Figure </w:t>
      </w:r>
      <w:r w:rsidR="00BB413D">
        <w:rPr>
          <w:noProof/>
        </w:rPr>
        <w:t>7</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_Ref148723562 \h </w:instrText>
      </w:r>
      <w:r w:rsidR="00476F32" w:rsidRPr="00434FC1">
        <w:instrText xml:space="preserve"> \* MERGEFORMAT </w:instrText>
      </w:r>
      <w:r w:rsidR="006D3DD0" w:rsidRPr="00434FC1">
        <w:fldChar w:fldCharType="separate"/>
      </w:r>
      <w:r w:rsidR="00BB413D">
        <w:rPr>
          <w:noProof/>
        </w:rPr>
        <w:drawing>
          <wp:inline distT="0" distB="0" distL="0" distR="0" wp14:anchorId="69E137D5" wp14:editId="0027CB76">
            <wp:extent cx="5562600" cy="1393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3"/>
                    <a:stretch>
                      <a:fillRect/>
                    </a:stretch>
                  </pic:blipFill>
                  <pic:spPr>
                    <a:xfrm>
                      <a:off x="0" y="0"/>
                      <a:ext cx="5562600" cy="1393190"/>
                    </a:xfrm>
                    <a:prstGeom prst="rect">
                      <a:avLst/>
                    </a:prstGeom>
                  </pic:spPr>
                </pic:pic>
              </a:graphicData>
            </a:graphic>
          </wp:inline>
        </w:drawing>
      </w:r>
    </w:p>
    <w:p w14:paraId="003B5826" w14:textId="77777777" w:rsidR="00BB413D" w:rsidRDefault="00BB413D" w:rsidP="00BB413D">
      <w:pPr>
        <w:pStyle w:val="Para"/>
      </w:pPr>
      <w:r>
        <w:rPr>
          <w:noProof/>
        </w:rPr>
        <w:drawing>
          <wp:inline distT="0" distB="0" distL="0" distR="0" wp14:anchorId="11B5229F" wp14:editId="6CFDDC71">
            <wp:extent cx="5562600" cy="14033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14"/>
                    <a:stretch>
                      <a:fillRect/>
                    </a:stretch>
                  </pic:blipFill>
                  <pic:spPr>
                    <a:xfrm>
                      <a:off x="0" y="0"/>
                      <a:ext cx="5562600" cy="1403350"/>
                    </a:xfrm>
                    <a:prstGeom prst="rect">
                      <a:avLst/>
                    </a:prstGeom>
                  </pic:spPr>
                </pic:pic>
              </a:graphicData>
            </a:graphic>
          </wp:inline>
        </w:drawing>
      </w:r>
    </w:p>
    <w:p w14:paraId="7FB167B1" w14:textId="77777777" w:rsidR="00BB413D" w:rsidRDefault="00BB413D" w:rsidP="00535B27">
      <w:pPr>
        <w:pStyle w:val="FigureCaption"/>
      </w:pPr>
      <w:r>
        <w:t xml:space="preserve">Figure </w:t>
      </w:r>
      <w:r>
        <w:rPr>
          <w:noProof/>
        </w:rPr>
        <w:t>7</w:t>
      </w:r>
      <w:r>
        <w:t>: Values of different quality properties when experimenting with different LR values for DeltaIoTv2</w:t>
      </w:r>
    </w:p>
    <w:p w14:paraId="53E3F2DA" w14:textId="77777777" w:rsidR="00BB413D" w:rsidRDefault="00BB413D" w:rsidP="00535B27">
      <w:pPr>
        <w:pStyle w:val="FigureCaption"/>
      </w:pPr>
    </w:p>
    <w:p w14:paraId="6AE87FAB" w14:textId="77777777" w:rsidR="00BB413D" w:rsidRDefault="00BB413D" w:rsidP="00535B27">
      <w:pPr>
        <w:pStyle w:val="FigureCaption"/>
      </w:pPr>
    </w:p>
    <w:p w14:paraId="7476A13A" w14:textId="77777777" w:rsidR="00BB413D" w:rsidRDefault="00BB413D" w:rsidP="00535B27">
      <w:pPr>
        <w:pStyle w:val="FigureCaption"/>
      </w:pPr>
    </w:p>
    <w:p w14:paraId="061433AC" w14:textId="77777777" w:rsidR="00BB413D" w:rsidRDefault="00BB413D" w:rsidP="00535B27">
      <w:pPr>
        <w:pStyle w:val="FigureCaption"/>
      </w:pPr>
    </w:p>
    <w:p w14:paraId="536239F5" w14:textId="19BFD9C1" w:rsidR="005C5283" w:rsidRPr="00AC0109" w:rsidRDefault="006D3DD0" w:rsidP="00AA5726">
      <w:pPr>
        <w:pStyle w:val="Para"/>
        <w:rPr>
          <w:color w:val="FF0000"/>
        </w:rPr>
      </w:pPr>
      <w:r w:rsidRPr="00434FC1">
        <w:fldChar w:fldCharType="end"/>
      </w:r>
      <w:r w:rsidRPr="00434FC1">
        <w:t xml:space="preserve">, </w:t>
      </w:r>
      <w:r w:rsidRPr="00434FC1">
        <w:fldChar w:fldCharType="begin"/>
      </w:r>
      <w:r w:rsidRPr="00434FC1">
        <w:instrText xml:space="preserve"> REF _Ref148724624 \h </w:instrText>
      </w:r>
      <w:r w:rsidR="00476F32" w:rsidRPr="00434FC1">
        <w:instrText xml:space="preserve"> \* MERGEFORMAT </w:instrText>
      </w:r>
      <w:r w:rsidRPr="00434FC1">
        <w:fldChar w:fldCharType="separate"/>
      </w:r>
      <w:r w:rsidR="00BB413D">
        <w:rPr>
          <w:noProof/>
        </w:rPr>
        <w:t>Table</w:t>
      </w:r>
      <w:r w:rsidR="00BB413D">
        <w:t xml:space="preserve"> </w:t>
      </w:r>
      <w:r w:rsidR="00BB413D">
        <w:rPr>
          <w:noProof/>
        </w:rPr>
        <w:t>4</w:t>
      </w:r>
      <w:r w:rsidRPr="00434FC1">
        <w:fldChar w:fldCharType="end"/>
      </w:r>
      <w:r w:rsidRPr="00434FC1">
        <w:t xml:space="preserve"> and </w:t>
      </w:r>
      <w:r w:rsidRPr="00434FC1">
        <w:fldChar w:fldCharType="begin"/>
      </w:r>
      <w:r w:rsidRPr="00434FC1">
        <w:instrText xml:space="preserve"> REF _Ref148724735 \h </w:instrText>
      </w:r>
      <w:r w:rsidR="00476F32" w:rsidRPr="00434FC1">
        <w:instrText xml:space="preserve"> \* MERGEFORMAT </w:instrText>
      </w:r>
      <w:r w:rsidRPr="00434FC1">
        <w:fldChar w:fldCharType="separate"/>
      </w:r>
      <w:r w:rsidR="00BB413D">
        <w:rPr>
          <w:noProof/>
        </w:rPr>
        <w:t>Table</w:t>
      </w:r>
      <w:r w:rsidR="00BB413D">
        <w:t xml:space="preserve"> </w:t>
      </w:r>
      <w:r w:rsidR="00BB413D">
        <w:rPr>
          <w:noProof/>
        </w:rPr>
        <w:t>5</w:t>
      </w:r>
      <w:r w:rsidRPr="00434FC1">
        <w:fldChar w:fldCharType="end"/>
      </w:r>
      <w:r w:rsidRPr="00AC0109">
        <w:rPr>
          <w:color w:val="FF0000"/>
        </w:rPr>
        <w:t>.</w:t>
      </w:r>
    </w:p>
    <w:p w14:paraId="4FCEE0C2" w14:textId="3994D9DC" w:rsidR="008B1D7A" w:rsidRPr="005C483C" w:rsidRDefault="008B1D7A" w:rsidP="008B1D7A">
      <w:pPr>
        <w:pStyle w:val="TableCaption"/>
      </w:pPr>
      <w:bookmarkStart w:id="9" w:name="_Ref147212884"/>
      <w:r w:rsidRPr="005C483C">
        <w:t xml:space="preserve">Table </w:t>
      </w:r>
      <w:fldSimple w:instr=" SEQ Table \* ARABIC ">
        <w:r w:rsidR="00BB413D">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lastRenderedPageBreak/>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2CE0AB1B" w:rsidR="003A45C7" w:rsidRDefault="003A45C7" w:rsidP="003A45C7">
      <w:pPr>
        <w:pStyle w:val="TableCaption"/>
      </w:pPr>
      <w:bookmarkStart w:id="10" w:name="_Ref147477336"/>
      <w:r>
        <w:t xml:space="preserve">Table </w:t>
      </w:r>
      <w:fldSimple w:instr=" SEQ Table \* ARABIC ">
        <w:r w:rsidR="00BB413D">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5"/>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6"/>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7"/>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8"/>
                    <a:stretch>
                      <a:fillRect/>
                    </a:stretch>
                  </pic:blipFill>
                  <pic:spPr>
                    <a:xfrm>
                      <a:off x="0" y="0"/>
                      <a:ext cx="5593080" cy="1393190"/>
                    </a:xfrm>
                    <a:prstGeom prst="rect">
                      <a:avLst/>
                    </a:prstGeom>
                  </pic:spPr>
                </pic:pic>
              </a:graphicData>
            </a:graphic>
          </wp:inline>
        </w:drawing>
      </w:r>
    </w:p>
    <w:p w14:paraId="05BDD663" w14:textId="16C0581B" w:rsidR="002A4B47" w:rsidRDefault="002A4B47" w:rsidP="002A4B47">
      <w:pPr>
        <w:pStyle w:val="FigureCaption"/>
      </w:pPr>
      <w:bookmarkStart w:id="11" w:name="_Ref148627435"/>
      <w:r>
        <w:t xml:space="preserve">Figure </w:t>
      </w:r>
      <w:fldSimple w:instr=" SEQ Figure \* ARABIC ">
        <w:r w:rsidR="00BB413D">
          <w:rPr>
            <w:noProof/>
          </w:rPr>
          <w:t>6</w:t>
        </w:r>
      </w:fldSimple>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9"/>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20"/>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3"/>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14"/>
                    <a:stretch>
                      <a:fillRect/>
                    </a:stretch>
                  </pic:blipFill>
                  <pic:spPr>
                    <a:xfrm>
                      <a:off x="0" y="0"/>
                      <a:ext cx="5562600" cy="1403350"/>
                    </a:xfrm>
                    <a:prstGeom prst="rect">
                      <a:avLst/>
                    </a:prstGeom>
                  </pic:spPr>
                </pic:pic>
              </a:graphicData>
            </a:graphic>
          </wp:inline>
        </w:drawing>
      </w:r>
    </w:p>
    <w:p w14:paraId="02E709CA" w14:textId="2B780904" w:rsidR="006E2F1B" w:rsidRDefault="00535B27" w:rsidP="00535B27">
      <w:pPr>
        <w:pStyle w:val="FigureCaption"/>
      </w:pPr>
      <w:bookmarkStart w:id="13" w:name="_Ref152320831"/>
      <w:r>
        <w:t xml:space="preserve">Figure </w:t>
      </w:r>
      <w:fldSimple w:instr=" SEQ Figure \* ARABIC ">
        <w:r w:rsidR="00BB413D">
          <w:rPr>
            <w:noProof/>
          </w:rPr>
          <w:t>7</w:t>
        </w:r>
      </w:fldSimple>
      <w:bookmarkEnd w:id="13"/>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684ACACC"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BB413D">
          <w:rPr>
            <w:noProof/>
          </w:rPr>
          <w:t>4</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274A4EC1"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BB413D">
          <w:rPr>
            <w:noProof/>
          </w:rPr>
          <w:t>5</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27B5BB8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w:t>
      </w:r>
      <w:proofErr w:type="spellStart"/>
      <w:r w:rsidRPr="006D4F8D">
        <w:t>DeltaIoT</w:t>
      </w:r>
      <w:proofErr w:type="spellEnd"/>
      <w:r w:rsidRPr="006D4F8D">
        <w:t xml:space="preserve">. </w:t>
      </w:r>
      <w:r w:rsidRPr="006D4F8D">
        <w:fldChar w:fldCharType="begin"/>
      </w:r>
      <w:r w:rsidRPr="006D4F8D">
        <w:instrText xml:space="preserve"> REF _Ref147214237 \h </w:instrText>
      </w:r>
      <w:r w:rsidR="006D4F8D">
        <w:instrText xml:space="preserve"> \* MERGEFORMAT </w:instrText>
      </w:r>
      <w:r w:rsidRPr="006D4F8D">
        <w:fldChar w:fldCharType="separate"/>
      </w:r>
      <w:r w:rsidR="00BB413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w:t>
      </w:r>
      <w:proofErr w:type="spellStart"/>
      <w:r w:rsidRPr="006D4F8D">
        <w:t>DelatIoT</w:t>
      </w:r>
      <w:proofErr w:type="spellEnd"/>
      <w:r w:rsidRPr="006D4F8D">
        <w:t xml:space="preserve">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654B8978" w:rsidR="005C483C" w:rsidRDefault="005C483C" w:rsidP="005C483C">
      <w:pPr>
        <w:pStyle w:val="TableCaption"/>
      </w:pPr>
      <w:bookmarkStart w:id="16" w:name="_Ref147214237"/>
      <w:r>
        <w:t xml:space="preserve">Table </w:t>
      </w:r>
      <w:fldSimple w:instr=" SEQ Table \* ARABIC ">
        <w:r w:rsidR="00BB413D">
          <w:rPr>
            <w:noProof/>
          </w:rPr>
          <w:t>6</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1F33151E" w:rsidR="00117E1A" w:rsidRDefault="00117E1A" w:rsidP="005F4A90">
            <w:pPr>
              <w:pStyle w:val="PostHeadPara"/>
              <w:jc w:val="center"/>
            </w:pPr>
            <w:r>
              <w:t>1</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4B8C99BB" w:rsidR="00117E1A" w:rsidRDefault="00117E1A" w:rsidP="005F4A90">
            <w:pPr>
              <w:pStyle w:val="PostHeadPara"/>
              <w:jc w:val="center"/>
            </w:pPr>
            <w:r>
              <w:t>TTO</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4FEF5C2B" w:rsidR="00117E1A" w:rsidRDefault="00117E1A" w:rsidP="005F4A90">
            <w:pPr>
              <w:pStyle w:val="PostHeadPara"/>
              <w:jc w:val="center"/>
            </w:pPr>
            <w:r>
              <w:t>TTO</w:t>
            </w:r>
          </w:p>
        </w:tc>
        <w:tc>
          <w:tcPr>
            <w:tcW w:w="729" w:type="dxa"/>
          </w:tcPr>
          <w:p w14:paraId="72C3328D" w14:textId="0800B4C2" w:rsidR="00117E1A" w:rsidRPr="008F7340" w:rsidRDefault="00117E1A" w:rsidP="005F4A90">
            <w:pPr>
              <w:pStyle w:val="PostHeadPara"/>
              <w:jc w:val="center"/>
              <w:rPr>
                <w:rFonts w:cstheme="minorBidi"/>
                <w:rtl/>
                <w:lang w:bidi="fa-IR"/>
              </w:rPr>
            </w:pPr>
            <w:r>
              <w:t>1e-3</w:t>
            </w:r>
          </w:p>
        </w:tc>
        <w:tc>
          <w:tcPr>
            <w:tcW w:w="962" w:type="dxa"/>
          </w:tcPr>
          <w:p w14:paraId="45774A14" w14:textId="7DEEF391" w:rsidR="00117E1A" w:rsidRDefault="00117E1A" w:rsidP="005F4A90">
            <w:pPr>
              <w:pStyle w:val="PostHeadPara"/>
              <w:jc w:val="center"/>
            </w:pPr>
            <w:r>
              <w:t>1</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35043E7" w:rsidR="002D243B" w:rsidRDefault="002D243B" w:rsidP="002D243B">
      <w:pPr>
        <w:pStyle w:val="PostHeadPara"/>
      </w:pPr>
      <w:r w:rsidRPr="006D4F8D">
        <w:t xml:space="preserve">We compare </w:t>
      </w:r>
      <w:r w:rsidR="0036224F">
        <w:t>DRL4SAO</w:t>
      </w:r>
      <w:r w:rsidRPr="006D4F8D">
        <w:t xml:space="preserve"> with </w:t>
      </w:r>
      <w:r w:rsidR="0036224F">
        <w:t>three</w:t>
      </w:r>
      <w:r w:rsidRPr="006D4F8D">
        <w:t xml:space="preserve"> different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we used </w:t>
      </w:r>
      <w:r w:rsidR="0036224F">
        <w:t>a</w:t>
      </w:r>
      <w:r w:rsidR="00E11BB4" w:rsidRPr="006D4F8D">
        <w:t xml:space="preserve"> competing</w:t>
      </w:r>
      <w:r w:rsidRPr="006D4F8D">
        <w:t xml:space="preserve"> </w:t>
      </w:r>
      <w:r w:rsidR="00695AFF" w:rsidRPr="006D4F8D">
        <w:t>method</w:t>
      </w:r>
      <w:r w:rsidR="0079624F" w:rsidRPr="006D4F8D">
        <w:t xml:space="preserve"> </w:t>
      </w:r>
      <w:proofErr w:type="spellStart"/>
      <w:r w:rsidR="0079624F" w:rsidRPr="006D4F8D">
        <w:t>DLASeR</w:t>
      </w:r>
      <w:proofErr w:type="spellEnd"/>
      <w:r w:rsidR="00EC7426">
        <w:t>+</w:t>
      </w:r>
      <w:r w:rsidR="00AD293A" w:rsidRPr="006D4F8D">
        <w:t xml:space="preserve"> </w:t>
      </w:r>
      <w:r w:rsidR="00AD293A" w:rsidRPr="006D4F8D">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C15EA4">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D13079" w:rsidRPr="006D4F8D">
        <w:t xml:space="preserve"> </w:t>
      </w:r>
      <w:r w:rsidR="00302CCD" w:rsidRPr="006D4F8D">
        <w:t>Finally</w:t>
      </w:r>
      <w:r w:rsidRPr="006D4F8D">
        <w:t xml:space="preserve">, as a sanity check, we used a </w:t>
      </w:r>
      <w:r w:rsidR="00473982" w:rsidRPr="006D4F8D">
        <w:t>method</w:t>
      </w:r>
      <w:r w:rsidRPr="006D4F8D">
        <w:t xml:space="preserve"> that selects an adaptation option randomly.</w:t>
      </w:r>
    </w:p>
    <w:p w14:paraId="53B46D87" w14:textId="51068561" w:rsidR="0036224F" w:rsidRDefault="0036224F" w:rsidP="00A82B1C">
      <w:pPr>
        <w:pStyle w:val="ParaContinue"/>
        <w:rPr>
          <w:rtl/>
        </w:rPr>
      </w:pPr>
      <w:r w:rsidRPr="00974D3C">
        <w:t>Effectiveness - Effect on realization of adaptation goals. To evaluate the effectiveness, we compare the median values of the quality properties that correspond to the adaptation goals over 300 learning cycles</w:t>
      </w:r>
      <w:r w:rsidR="00E915CC">
        <w:t xml:space="preserve">. We consider the goals of the system satisfied if </w:t>
      </w:r>
      <w:r w:rsidRPr="00974D3C">
        <w:t>the median of the values</w:t>
      </w:r>
      <w:r>
        <w:t xml:space="preserve"> </w:t>
      </w:r>
      <w:r w:rsidRPr="00974D3C">
        <w:t xml:space="preserve">over 300 cycles </w:t>
      </w:r>
      <w:r w:rsidR="00E915CC">
        <w:t>meet</w:t>
      </w:r>
      <w:r w:rsidRPr="00974D3C">
        <w:t xml:space="preserve"> the goal. </w:t>
      </w:r>
      <w:r w:rsidR="00B4444F">
        <w:t>It should be noted that in some cycles there is no adaptation option that satisfies the goal</w:t>
      </w:r>
      <w:r w:rsidRPr="00974D3C">
        <w:t xml:space="preserve">. </w:t>
      </w:r>
    </w:p>
    <w:p w14:paraId="4BDABE11" w14:textId="4FE801F5" w:rsidR="0036224F" w:rsidRDefault="0036224F" w:rsidP="0036224F">
      <w:pPr>
        <w:pStyle w:val="ParaContinue"/>
      </w:pPr>
      <w:r>
        <w:t xml:space="preserve">For the setting with TTS goals (threshold, threshold, set-point), </w:t>
      </w:r>
      <w:r>
        <w:fldChar w:fldCharType="begin"/>
      </w:r>
      <w:r>
        <w:instrText xml:space="preserve"> REF _Ref143949028 \h </w:instrText>
      </w:r>
      <w:r>
        <w:fldChar w:fldCharType="separate"/>
      </w:r>
      <w:r w:rsidR="00BB413D" w:rsidRPr="00860A17">
        <w:t>Figure</w:t>
      </w:r>
      <w:r w:rsidR="00BB413D">
        <w:t xml:space="preserve"> </w:t>
      </w:r>
      <w:r w:rsidR="00BB413D">
        <w:rPr>
          <w:noProof/>
        </w:rPr>
        <w:t>8</w:t>
      </w:r>
      <w:r>
        <w:fldChar w:fldCharType="end"/>
      </w:r>
      <w:r>
        <w:t xml:space="preserve"> and </w:t>
      </w:r>
      <w:r>
        <w:fldChar w:fldCharType="begin"/>
      </w:r>
      <w:r>
        <w:instrText xml:space="preserve"> REF _Ref144012554 \h </w:instrText>
      </w:r>
      <w:r>
        <w:fldChar w:fldCharType="separate"/>
      </w:r>
      <w:r w:rsidR="00BB413D">
        <w:t xml:space="preserve">Figure </w:t>
      </w:r>
      <w:r w:rsidR="00BB413D">
        <w:rPr>
          <w:noProof/>
        </w:rPr>
        <w:t>9</w:t>
      </w:r>
      <w:r>
        <w:fldChar w:fldCharType="end"/>
      </w:r>
      <w:r>
        <w:t xml:space="preserve"> show the results for DeltaIoTv1 and DeltaIoTv2 respectively. For </w:t>
      </w:r>
      <w:r w:rsidR="007B7344">
        <w:t>DeltaIoTv1</w:t>
      </w:r>
      <w:r>
        <w:t>, the results for packet loss and latency are better compared to other methods.</w:t>
      </w:r>
      <w:r>
        <w:rPr>
          <w:rFonts w:cstheme="minorBidi"/>
          <w:lang w:bidi="fa-IR"/>
        </w:rPr>
        <w:t xml:space="preserve"> </w:t>
      </w:r>
      <w:r w:rsidRPr="00974D3C">
        <w:t xml:space="preserve">We observe that DRL4SAO always satisfies the goals (i.e., all median values are below the thresholds). </w:t>
      </w:r>
      <w:r>
        <w:t xml:space="preserve">For energy consumption (set-point goal), the results for DRL4SAO are slightly higher compared to </w:t>
      </w:r>
      <w:proofErr w:type="spellStart"/>
      <w:r>
        <w:t>DLASeR</w:t>
      </w:r>
      <w:proofErr w:type="spellEnd"/>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Reference methods, i.e., an increase of 0.08 C (a utility penalty of 0.58%) compared to </w:t>
      </w:r>
      <w:proofErr w:type="spellStart"/>
      <w:r>
        <w:t>DLASeR</w:t>
      </w:r>
      <w:proofErr w:type="spellEnd"/>
      <w:r w:rsidR="00AC2124">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0.08 C (a utility penalty of 0.58%) compared to the Reference. For DeltaIoTv2, the results for all three quality properties are better compared to other methods.</w:t>
      </w:r>
    </w:p>
    <w:p w14:paraId="21BA6CD7" w14:textId="2538E906" w:rsidR="0036224F" w:rsidRDefault="0036224F" w:rsidP="0036224F">
      <w:pPr>
        <w:pStyle w:val="ParaContinue"/>
      </w:pPr>
      <w:r>
        <w:t xml:space="preserve">For the setting with TTO goals (threshold, threshold, optimization), </w:t>
      </w:r>
      <w:r>
        <w:fldChar w:fldCharType="begin"/>
      </w:r>
      <w:r>
        <w:instrText xml:space="preserve"> REF _Ref143950127 \h </w:instrText>
      </w:r>
      <w:r>
        <w:fldChar w:fldCharType="separate"/>
      </w:r>
      <w:r w:rsidR="00752435">
        <w:t xml:space="preserve">Figure </w:t>
      </w:r>
      <w:r w:rsidR="00752435">
        <w:rPr>
          <w:noProof/>
        </w:rPr>
        <w:t>10</w:t>
      </w:r>
      <w:r>
        <w:fldChar w:fldCharType="end"/>
      </w:r>
      <w:r>
        <w:t xml:space="preserve"> and </w:t>
      </w:r>
      <w:r>
        <w:fldChar w:fldCharType="begin"/>
      </w:r>
      <w:r>
        <w:instrText xml:space="preserve"> REF _Ref144012497 \h </w:instrText>
      </w:r>
      <w:r>
        <w:fldChar w:fldCharType="separate"/>
      </w:r>
      <w:r w:rsidR="00BB413D">
        <w:t xml:space="preserve">Figure </w:t>
      </w:r>
      <w:r w:rsidR="00BB413D">
        <w:rPr>
          <w:noProof/>
        </w:rPr>
        <w:t>11</w:t>
      </w:r>
      <w:r>
        <w:fldChar w:fldCharType="end"/>
      </w:r>
      <w:r>
        <w:t xml:space="preserve"> show the results for DeltaIoTv1 and DeltaIoTv2 respectively. In case of DeltaIoTv1, for the optimization goal the media</w:t>
      </w:r>
      <w:r w:rsidR="00994D94">
        <w:t xml:space="preserve">n </w:t>
      </w:r>
      <w:r>
        <w:t xml:space="preserve">values of DRL4SAO are slightly higher compared to the other two methods. We observe an increase of 0.16 C (a utility penalty of 1.24%) compared to </w:t>
      </w:r>
      <w:proofErr w:type="spellStart"/>
      <w:r>
        <w:t>DLASeR</w:t>
      </w:r>
      <w:proofErr w:type="spellEnd"/>
      <w:r w:rsidR="000C1A72">
        <w:t>+</w:t>
      </w:r>
      <w:r>
        <w:t xml:space="preserve"> </w:t>
      </w:r>
      <w:r>
        <w:fldChar w:fldCharType="begin"/>
      </w:r>
      <w: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Pr>
          <w:noProof/>
        </w:rPr>
        <w:t>[27]</w:t>
      </w:r>
      <w:r>
        <w:fldChar w:fldCharType="end"/>
      </w:r>
      <w:r>
        <w:t xml:space="preserve"> and an increase of 0.21 C (a utility penalty of 1.63%) compared to the Reference.</w:t>
      </w:r>
    </w:p>
    <w:p w14:paraId="07EE45B5" w14:textId="77777777" w:rsidR="0036224F" w:rsidRDefault="0036224F" w:rsidP="0036224F">
      <w:pPr>
        <w:pStyle w:val="PostHeadPara"/>
      </w:pPr>
    </w:p>
    <w:p w14:paraId="5AF4DCCF" w14:textId="57A7274C" w:rsidR="0036224F" w:rsidRDefault="00A362E5" w:rsidP="0036224F">
      <w:pPr>
        <w:pStyle w:val="Image"/>
      </w:pPr>
      <w:r>
        <w:rPr>
          <w:noProof/>
        </w:rPr>
        <w:lastRenderedPageBreak/>
        <w:drawing>
          <wp:inline distT="0" distB="0" distL="0" distR="0" wp14:anchorId="429B7C9B" wp14:editId="0A54CCCC">
            <wp:extent cx="5562600" cy="1348740"/>
            <wp:effectExtent l="0" t="0" r="0" b="3810"/>
            <wp:docPr id="120877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2330" name=""/>
                    <pic:cNvPicPr/>
                  </pic:nvPicPr>
                  <pic:blipFill>
                    <a:blip r:embed="rId21"/>
                    <a:stretch>
                      <a:fillRect/>
                    </a:stretch>
                  </pic:blipFill>
                  <pic:spPr>
                    <a:xfrm>
                      <a:off x="0" y="0"/>
                      <a:ext cx="5562600" cy="1348740"/>
                    </a:xfrm>
                    <a:prstGeom prst="rect">
                      <a:avLst/>
                    </a:prstGeom>
                  </pic:spPr>
                </pic:pic>
              </a:graphicData>
            </a:graphic>
          </wp:inline>
        </w:drawing>
      </w:r>
    </w:p>
    <w:p w14:paraId="7EC7E9E8" w14:textId="27AD9722" w:rsidR="0036224F" w:rsidRDefault="0036224F" w:rsidP="0036224F">
      <w:pPr>
        <w:pStyle w:val="FigureCaption"/>
      </w:pPr>
      <w:bookmarkStart w:id="17" w:name="_Ref143949028"/>
      <w:r w:rsidRPr="00860A17">
        <w:t>Figure</w:t>
      </w:r>
      <w:r>
        <w:t xml:space="preserve"> </w:t>
      </w:r>
      <w:fldSimple w:instr=" SEQ Figure \* ARABIC ">
        <w:r w:rsidR="00BB413D">
          <w:rPr>
            <w:noProof/>
          </w:rPr>
          <w:t>8</w:t>
        </w:r>
      </w:fldSimple>
      <w:bookmarkEnd w:id="17"/>
      <w:r>
        <w:t xml:space="preserve">: </w:t>
      </w:r>
      <w:r w:rsidRPr="00A5662E">
        <w:t>Effect on the realization of the adaptation goals for the TT</w:t>
      </w:r>
      <w:r>
        <w:t>S</w:t>
      </w:r>
      <w:r w:rsidRPr="00A5662E">
        <w:t xml:space="preserve"> setting</w:t>
      </w:r>
      <w:r>
        <w:t xml:space="preserve"> (DeltaIoTv1)</w:t>
      </w:r>
      <w:r w:rsidRPr="00A5662E">
        <w:t>.</w:t>
      </w:r>
    </w:p>
    <w:p w14:paraId="56655B05" w14:textId="7775AEA9" w:rsidR="0036224F" w:rsidRDefault="00A362E5" w:rsidP="0036224F">
      <w:pPr>
        <w:pStyle w:val="Image"/>
      </w:pPr>
      <w:r>
        <w:rPr>
          <w:noProof/>
        </w:rPr>
        <w:drawing>
          <wp:inline distT="0" distB="0" distL="0" distR="0" wp14:anchorId="78BA9283" wp14:editId="68343BF7">
            <wp:extent cx="5562600" cy="1301750"/>
            <wp:effectExtent l="0" t="0" r="0" b="0"/>
            <wp:docPr id="161883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0226" name=""/>
                    <pic:cNvPicPr/>
                  </pic:nvPicPr>
                  <pic:blipFill>
                    <a:blip r:embed="rId22"/>
                    <a:stretch>
                      <a:fillRect/>
                    </a:stretch>
                  </pic:blipFill>
                  <pic:spPr>
                    <a:xfrm>
                      <a:off x="0" y="0"/>
                      <a:ext cx="5562600" cy="1301750"/>
                    </a:xfrm>
                    <a:prstGeom prst="rect">
                      <a:avLst/>
                    </a:prstGeom>
                  </pic:spPr>
                </pic:pic>
              </a:graphicData>
            </a:graphic>
          </wp:inline>
        </w:drawing>
      </w:r>
    </w:p>
    <w:p w14:paraId="0961C4D5" w14:textId="44F96FA4" w:rsidR="0036224F" w:rsidRDefault="0036224F" w:rsidP="0036224F">
      <w:pPr>
        <w:pStyle w:val="FigureCaption"/>
      </w:pPr>
      <w:bookmarkStart w:id="18" w:name="_Ref144012554"/>
      <w:r>
        <w:t xml:space="preserve">Figure </w:t>
      </w:r>
      <w:fldSimple w:instr=" SEQ Figure \* ARABIC ">
        <w:r w:rsidR="00BB413D">
          <w:rPr>
            <w:noProof/>
          </w:rPr>
          <w:t>9</w:t>
        </w:r>
      </w:fldSimple>
      <w:bookmarkEnd w:id="18"/>
      <w:r>
        <w:t xml:space="preserve">: </w:t>
      </w:r>
      <w:r w:rsidRPr="00A5662E">
        <w:t>Effect on the realization of the adaptation goals for the TT</w:t>
      </w:r>
      <w:r>
        <w:t>S</w:t>
      </w:r>
      <w:r w:rsidRPr="00A5662E">
        <w:t xml:space="preserve"> setting</w:t>
      </w:r>
      <w:r>
        <w:t xml:space="preserve"> (DeltaIoTv2)</w:t>
      </w:r>
      <w:r w:rsidRPr="00A5662E">
        <w:t>.</w:t>
      </w:r>
    </w:p>
    <w:p w14:paraId="06C8D615" w14:textId="66F084D0" w:rsidR="0036224F" w:rsidRPr="00B30BE1" w:rsidRDefault="00BD0FE7" w:rsidP="0036224F">
      <w:pPr>
        <w:pStyle w:val="Image"/>
        <w:rPr>
          <w:rFonts w:cstheme="minorBidi"/>
          <w:lang w:bidi="fa-IR"/>
        </w:rPr>
      </w:pPr>
      <w:r>
        <w:rPr>
          <w:rFonts w:cstheme="minorBidi"/>
          <w:noProof/>
          <w:lang w:bidi="fa-IR"/>
        </w:rPr>
        <w:drawing>
          <wp:inline distT="0" distB="0" distL="0" distR="0" wp14:anchorId="34242024" wp14:editId="6550B035">
            <wp:extent cx="5622826" cy="15417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676871" cy="1556561"/>
                    </a:xfrm>
                    <a:prstGeom prst="rect">
                      <a:avLst/>
                    </a:prstGeom>
                  </pic:spPr>
                </pic:pic>
              </a:graphicData>
            </a:graphic>
          </wp:inline>
        </w:drawing>
      </w:r>
    </w:p>
    <w:p w14:paraId="61C987AB" w14:textId="07206427" w:rsidR="0036224F" w:rsidRDefault="0036224F" w:rsidP="0036224F">
      <w:pPr>
        <w:pStyle w:val="FigureCaption"/>
      </w:pPr>
      <w:bookmarkStart w:id="19" w:name="_Ref143950127"/>
      <w:r>
        <w:t xml:space="preserve">Figure </w:t>
      </w:r>
      <w:fldSimple w:instr=" SEQ Figure \* ARABIC ">
        <w:r w:rsidR="00BB413D">
          <w:rPr>
            <w:noProof/>
          </w:rPr>
          <w:t>10</w:t>
        </w:r>
      </w:fldSimple>
      <w:bookmarkEnd w:id="19"/>
      <w:r>
        <w:t>:</w:t>
      </w:r>
      <w:r w:rsidRPr="00974AF1">
        <w:t xml:space="preserve"> </w:t>
      </w:r>
      <w:r w:rsidRPr="00A5662E">
        <w:t>Effect on the realization of the adaptation goals for the TT</w:t>
      </w:r>
      <w:r>
        <w:t>O</w:t>
      </w:r>
      <w:r w:rsidRPr="00A5662E">
        <w:t xml:space="preserve"> setting</w:t>
      </w:r>
      <w:r>
        <w:t xml:space="preserve"> (DeltaIoTv1)</w:t>
      </w:r>
      <w:r w:rsidRPr="00A5662E">
        <w:t>.</w:t>
      </w:r>
    </w:p>
    <w:p w14:paraId="0B669320" w14:textId="77777777" w:rsidR="0036224F" w:rsidRDefault="0036224F" w:rsidP="0036224F">
      <w:pPr>
        <w:pStyle w:val="Image"/>
      </w:pPr>
      <w:r w:rsidRPr="005E5D28">
        <w:rPr>
          <w:noProof/>
        </w:rPr>
        <w:drawing>
          <wp:inline distT="0" distB="0" distL="0" distR="0" wp14:anchorId="2A9C20BD" wp14:editId="42A0C6F4">
            <wp:extent cx="5473700" cy="1187450"/>
            <wp:effectExtent l="0" t="0" r="0" b="0"/>
            <wp:docPr id="15004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5661" name=""/>
                    <pic:cNvPicPr/>
                  </pic:nvPicPr>
                  <pic:blipFill>
                    <a:blip r:embed="rId24"/>
                    <a:stretch>
                      <a:fillRect/>
                    </a:stretch>
                  </pic:blipFill>
                  <pic:spPr>
                    <a:xfrm>
                      <a:off x="0" y="0"/>
                      <a:ext cx="5473700" cy="1187450"/>
                    </a:xfrm>
                    <a:prstGeom prst="rect">
                      <a:avLst/>
                    </a:prstGeom>
                  </pic:spPr>
                </pic:pic>
              </a:graphicData>
            </a:graphic>
          </wp:inline>
        </w:drawing>
      </w:r>
    </w:p>
    <w:p w14:paraId="7926EA98" w14:textId="4CF292B7" w:rsidR="0036224F" w:rsidRDefault="0036224F" w:rsidP="0036224F">
      <w:pPr>
        <w:pStyle w:val="FigureCaption"/>
      </w:pPr>
      <w:bookmarkStart w:id="20" w:name="_Ref144012497"/>
      <w:r>
        <w:t xml:space="preserve">Figure </w:t>
      </w:r>
      <w:fldSimple w:instr=" SEQ Figure \* ARABIC ">
        <w:r w:rsidR="00BB413D">
          <w:rPr>
            <w:noProof/>
          </w:rPr>
          <w:t>11</w:t>
        </w:r>
      </w:fldSimple>
      <w:bookmarkEnd w:id="20"/>
      <w:r>
        <w:t xml:space="preserve">: </w:t>
      </w:r>
      <w:r w:rsidRPr="00A5662E">
        <w:t>Effect on the realization of the adaptation goals for the TT</w:t>
      </w:r>
      <w:r>
        <w:t>O</w:t>
      </w:r>
      <w:r w:rsidRPr="00A5662E">
        <w:t xml:space="preserve"> setting</w:t>
      </w:r>
      <w:r>
        <w:t xml:space="preserve"> (DeltaIoTv2)</w:t>
      </w:r>
      <w:r w:rsidRPr="00A5662E">
        <w:t>.</w:t>
      </w:r>
    </w:p>
    <w:p w14:paraId="64CE26D4" w14:textId="77777777" w:rsidR="0036224F" w:rsidRPr="006D4F8D" w:rsidRDefault="0036224F" w:rsidP="002D243B">
      <w:pPr>
        <w:pStyle w:val="PostHeadPara"/>
      </w:pPr>
    </w:p>
    <w:p w14:paraId="3A4803BD" w14:textId="4C68EB50" w:rsidR="000D4D6D" w:rsidRPr="006D4F8D" w:rsidRDefault="00005A9C" w:rsidP="006D4F8D">
      <w:pPr>
        <w:pStyle w:val="PostHeadPara"/>
      </w:pPr>
      <w:r w:rsidRPr="006D4F8D">
        <w:lastRenderedPageBreak/>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BB413D">
        <w:t>Table 7</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w:t>
      </w:r>
      <w:proofErr w:type="spellStart"/>
      <w:r w:rsidR="00607678" w:rsidRPr="006D4F8D">
        <w:t>DLASeR</w:t>
      </w:r>
      <w:proofErr w:type="spellEnd"/>
      <w:r w:rsidR="0043062F">
        <w:t>+</w:t>
      </w:r>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proofErr w:type="spellStart"/>
      <w:r w:rsidR="00607678" w:rsidRPr="006D4F8D">
        <w:t>DLASeR</w:t>
      </w:r>
      <w:proofErr w:type="spellEnd"/>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proofErr w:type="spellStart"/>
      <w:r w:rsidR="00607678" w:rsidRPr="006D4F8D">
        <w:t>DLASeR</w:t>
      </w:r>
      <w:proofErr w:type="spellEnd"/>
      <w:r w:rsidR="00607678" w:rsidRPr="006D4F8D">
        <w:t xml:space="preserve">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4CBD6215" w:rsidR="00E101A4" w:rsidRDefault="00E101A4" w:rsidP="00E101A4">
      <w:pPr>
        <w:pStyle w:val="TableCaption"/>
      </w:pPr>
      <w:bookmarkStart w:id="21" w:name="_Ref148733280"/>
      <w:r>
        <w:t xml:space="preserve">Table </w:t>
      </w:r>
      <w:fldSimple w:instr=" SEQ Table \* ARABIC ">
        <w:r w:rsidR="00BB413D">
          <w:rPr>
            <w:noProof/>
          </w:rPr>
          <w:t>7</w:t>
        </w:r>
      </w:fldSimple>
      <w:bookmarkEnd w:id="21"/>
      <w:r>
        <w:t>:</w:t>
      </w:r>
      <w:r w:rsidRPr="00E101A4">
        <w:t xml:space="preserve"> </w:t>
      </w:r>
      <w:r>
        <w:t xml:space="preserve">Adaptation space reductions on two </w:t>
      </w:r>
      <w:r w:rsidR="00C13CF4">
        <w:t>adaptation goals</w:t>
      </w:r>
      <w:r>
        <w:t xml:space="preserve"> of Table 1.</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4008710B" w:rsidR="00B52AAE" w:rsidRPr="00B31C94" w:rsidRDefault="00B52AAE" w:rsidP="00593D3B">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134"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134"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43B4ADE6" w:rsidR="00B52AAE" w:rsidRPr="00B31C94" w:rsidRDefault="00B52AAE" w:rsidP="00593D3B">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058026CD" w:rsidR="00B52AAE" w:rsidRPr="00B31C94" w:rsidRDefault="00B52AAE" w:rsidP="00B52AAE">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134"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205D3C93" w:rsidR="00B52AAE" w:rsidRPr="00B31C94" w:rsidRDefault="00B52AAE" w:rsidP="00B52AAE">
            <w:pPr>
              <w:pStyle w:val="ParaContinue"/>
            </w:pPr>
            <w:proofErr w:type="spellStart"/>
            <w:r>
              <w:t>DLASeR</w:t>
            </w:r>
            <w:proofErr w:type="spellEnd"/>
            <w:r w:rsidR="000C1A72">
              <w:t>+</w:t>
            </w:r>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48636C37"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 DLASER+,</w:t>
      </w:r>
      <w:r w:rsidR="00A87821">
        <w:rPr>
          <w:rFonts w:cstheme="minorBidi"/>
          <w:lang w:bidi="fa-IR"/>
        </w:rPr>
        <w:t xml:space="preserve"> and </w:t>
      </w:r>
      <w:r w:rsidR="00126B27">
        <w:rPr>
          <w:rFonts w:cstheme="minorBidi"/>
          <w:lang w:bidi="fa-IR"/>
        </w:rPr>
        <w:t>ML</w:t>
      </w:r>
      <w:r w:rsidR="00A87821">
        <w:rPr>
          <w:rFonts w:cstheme="minorBidi"/>
          <w:lang w:bidi="fa-IR"/>
        </w:rPr>
        <w:t>4EAS. DLASER and DLASER+ both use a method that uses trained deep neural network to predict the quality properties of the system, then select a subset of those for analysis, and then choose the best one among them. As for ML4EAS,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is difficult to obtain due to the dynamic and uncertain nature of environment in which these systems operate.</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05A5CEDE" w:rsidR="00AB4866" w:rsidRPr="00131383" w:rsidRDefault="00AB4866" w:rsidP="00AB4866">
      <w:pPr>
        <w:pStyle w:val="Para"/>
        <w:rPr>
          <w:lang w:eastAsia="en-US"/>
        </w:rPr>
      </w:pPr>
      <w:r w:rsidRPr="00131383">
        <w:rPr>
          <w:lang w:eastAsia="en-US"/>
        </w:rPr>
        <w:lastRenderedPageBreak/>
        <w:t xml:space="preserve">External validity. Since the evaluation was done only in one domain, the conclusions </w:t>
      </w:r>
      <w:r w:rsidR="00126B27" w:rsidRPr="00131383">
        <w:rPr>
          <w:lang w:eastAsia="en-US"/>
        </w:rPr>
        <w:t>cannot</w:t>
      </w:r>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 and </w:t>
      </w:r>
      <w:r w:rsidR="00DA40DC" w:rsidRPr="00131383">
        <w:rPr>
          <w:lang w:eastAsia="en-US"/>
        </w:rPr>
        <w:t xml:space="preserve">one </w:t>
      </w:r>
      <w:r w:rsidRPr="00131383">
        <w:rPr>
          <w:lang w:eastAsia="en-US"/>
        </w:rPr>
        <w:t>optimization</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 xml:space="preserve">instances of </w:t>
      </w:r>
      <w:proofErr w:type="spellStart"/>
      <w:r w:rsidR="00CC12D9" w:rsidRPr="00131383">
        <w:rPr>
          <w:lang w:eastAsia="en-US"/>
        </w:rPr>
        <w:t>DeltaIoT</w:t>
      </w:r>
      <w:proofErr w:type="spellEnd"/>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xml:space="preserve">. We mitigated this threat to some extent by taking into account real-world application settings available in the </w:t>
      </w:r>
      <w:proofErr w:type="spellStart"/>
      <w:r w:rsidRPr="00131383">
        <w:rPr>
          <w:lang w:eastAsia="en-US"/>
        </w:rPr>
        <w:t>DeltaIoT</w:t>
      </w:r>
      <w:proofErr w:type="spellEnd"/>
      <w:r w:rsidRPr="00131383">
        <w:rPr>
          <w:lang w:eastAsia="en-US"/>
        </w:rPr>
        <w:t xml:space="preserve">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w:t>
      </w:r>
      <w:proofErr w:type="spellStart"/>
      <w:r w:rsidR="00BD46F2" w:rsidRPr="00131383">
        <w:rPr>
          <w:lang w:eastAsia="en-US"/>
        </w:rPr>
        <w:t>mape</w:t>
      </w:r>
      <w:proofErr w:type="spellEnd"/>
      <w:r w:rsidR="00BD46F2" w:rsidRPr="00131383">
        <w:rPr>
          <w:lang w:eastAsia="en-US"/>
        </w:rPr>
        <w:t xml:space="preserv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 xml:space="preserve">We evaluated our proposed method on two instances of </w:t>
      </w:r>
      <w:proofErr w:type="spellStart"/>
      <w:r w:rsidR="003D54A5" w:rsidRPr="00131383">
        <w:rPr>
          <w:lang w:eastAsia="en-US"/>
        </w:rPr>
        <w:t>DeltaIoT</w:t>
      </w:r>
      <w:proofErr w:type="spellEnd"/>
      <w:r w:rsidR="003D54A5" w:rsidRPr="00131383">
        <w:rPr>
          <w:lang w:eastAsia="en-US"/>
        </w:rPr>
        <w:t xml:space="preserve">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0687B05F" w:rsidR="0026052D" w:rsidRDefault="0026052D" w:rsidP="00EA04FA">
      <w:pPr>
        <w:pStyle w:val="FigureCaption"/>
      </w:pPr>
    </w:p>
    <w:p w14:paraId="1E85E828" w14:textId="1228107D" w:rsidR="00D92B1F" w:rsidRDefault="00D92B1F" w:rsidP="00EA04FA">
      <w:pPr>
        <w:pStyle w:val="FigureCaption"/>
      </w:pPr>
    </w:p>
    <w:p w14:paraId="260D499A" w14:textId="66CD69A4" w:rsidR="00D92B1F" w:rsidRDefault="00D92B1F" w:rsidP="00EA04FA">
      <w:pPr>
        <w:pStyle w:val="FigureCaption"/>
      </w:pPr>
    </w:p>
    <w:p w14:paraId="715AAA77" w14:textId="77777777" w:rsidR="00D92B1F" w:rsidRDefault="00D92B1F"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B94F94D" w14:textId="77777777" w:rsidR="00966446" w:rsidRPr="00966446" w:rsidRDefault="00577ACE" w:rsidP="00966446">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966446" w:rsidRPr="00966446">
        <w:t>1.</w:t>
      </w:r>
      <w:r w:rsidR="00966446" w:rsidRPr="00966446">
        <w:tab/>
        <w:t xml:space="preserve">Weyns, D., </w:t>
      </w:r>
      <w:r w:rsidR="00966446" w:rsidRPr="00966446">
        <w:rPr>
          <w:i/>
        </w:rPr>
        <w:t>An introduction to self-adaptive systems: A contemporary software engineering perspective</w:t>
      </w:r>
      <w:r w:rsidR="00966446" w:rsidRPr="00966446">
        <w:t>. 2020: John Wiley &amp; Sons.</w:t>
      </w:r>
    </w:p>
    <w:p w14:paraId="0FDA4339" w14:textId="77777777" w:rsidR="00966446" w:rsidRPr="00966446" w:rsidRDefault="00966446" w:rsidP="00966446">
      <w:pPr>
        <w:pStyle w:val="EndNoteBibliography"/>
        <w:spacing w:after="0"/>
        <w:ind w:left="720" w:hanging="720"/>
      </w:pPr>
      <w:r w:rsidRPr="00966446">
        <w:t>2.</w:t>
      </w:r>
      <w:r w:rsidRPr="00966446">
        <w:tab/>
        <w:t xml:space="preserve">Krupitzer, C., et al., </w:t>
      </w:r>
      <w:r w:rsidRPr="00966446">
        <w:rPr>
          <w:i/>
        </w:rPr>
        <w:t>A survey on engineering approaches for self-adaptive systems.</w:t>
      </w:r>
      <w:r w:rsidRPr="00966446">
        <w:t xml:space="preserve"> Pervasive and Mobile Computing, 2015. </w:t>
      </w:r>
      <w:r w:rsidRPr="00966446">
        <w:rPr>
          <w:b/>
        </w:rPr>
        <w:t>17</w:t>
      </w:r>
      <w:r w:rsidRPr="00966446">
        <w:t>: p. 184-206.</w:t>
      </w:r>
    </w:p>
    <w:p w14:paraId="2EB1FCC5" w14:textId="77777777" w:rsidR="00966446" w:rsidRPr="00966446" w:rsidRDefault="00966446" w:rsidP="00966446">
      <w:pPr>
        <w:pStyle w:val="EndNoteBibliography"/>
        <w:spacing w:after="0"/>
        <w:ind w:left="720" w:hanging="720"/>
      </w:pPr>
      <w:r w:rsidRPr="00966446">
        <w:t>3.</w:t>
      </w:r>
      <w:r w:rsidRPr="00966446">
        <w:tab/>
        <w:t xml:space="preserve">Weyns, D., </w:t>
      </w:r>
      <w:r w:rsidRPr="00966446">
        <w:rPr>
          <w:i/>
        </w:rPr>
        <w:t>Software engineering of self-adaptive systems: an organised tour and future challenges.</w:t>
      </w:r>
      <w:r w:rsidRPr="00966446">
        <w:t xml:space="preserve"> Chapter in Handbook of Software Engineering, 2017: p. 2.</w:t>
      </w:r>
    </w:p>
    <w:p w14:paraId="288B8A3D" w14:textId="77777777" w:rsidR="00966446" w:rsidRPr="00966446" w:rsidRDefault="00966446" w:rsidP="00966446">
      <w:pPr>
        <w:pStyle w:val="EndNoteBibliography"/>
        <w:spacing w:after="0"/>
        <w:ind w:left="720" w:hanging="720"/>
      </w:pPr>
      <w:r w:rsidRPr="00966446">
        <w:t>4.</w:t>
      </w:r>
      <w:r w:rsidRPr="00966446">
        <w:tab/>
        <w:t xml:space="preserve">Edwards, G., et al. </w:t>
      </w:r>
      <w:r w:rsidRPr="00966446">
        <w:rPr>
          <w:i/>
        </w:rPr>
        <w:t>Architecture-driven self-adaptation and self-management in robotics systems</w:t>
      </w:r>
      <w:r w:rsidRPr="00966446">
        <w:t xml:space="preserve">. in </w:t>
      </w:r>
      <w:r w:rsidRPr="00966446">
        <w:rPr>
          <w:i/>
        </w:rPr>
        <w:t>2009 ICSE Workshop on Software Engineering for Adaptive and Self-Managing Systems</w:t>
      </w:r>
      <w:r w:rsidRPr="00966446">
        <w:t>. 2009. IEEE.</w:t>
      </w:r>
    </w:p>
    <w:p w14:paraId="73147ADA" w14:textId="77777777" w:rsidR="00966446" w:rsidRPr="00966446" w:rsidRDefault="00966446" w:rsidP="00966446">
      <w:pPr>
        <w:pStyle w:val="EndNoteBibliography"/>
        <w:spacing w:after="0"/>
        <w:ind w:left="720" w:hanging="720"/>
      </w:pPr>
      <w:r w:rsidRPr="00966446">
        <w:t>5.</w:t>
      </w:r>
      <w:r w:rsidRPr="00966446">
        <w:tab/>
        <w:t xml:space="preserve">Weyns, D., et al. </w:t>
      </w:r>
      <w:r w:rsidRPr="00966446">
        <w:rPr>
          <w:i/>
        </w:rPr>
        <w:t>Applying architecture-based adaptation to automate the management of internet-of-things</w:t>
      </w:r>
      <w:r w:rsidRPr="00966446">
        <w:t xml:space="preserve">. in </w:t>
      </w:r>
      <w:r w:rsidRPr="00966446">
        <w:rPr>
          <w:i/>
        </w:rPr>
        <w:t>Software Architecture: 12th European Conference on Software Architecture, ECSA 2018, Madrid, Spain, September 24–28, 2018, Proceedings 12</w:t>
      </w:r>
      <w:r w:rsidRPr="00966446">
        <w:t>. 2018. Springer.</w:t>
      </w:r>
    </w:p>
    <w:p w14:paraId="1DDA60C8" w14:textId="77777777" w:rsidR="00966446" w:rsidRPr="00966446" w:rsidRDefault="00966446" w:rsidP="00966446">
      <w:pPr>
        <w:pStyle w:val="EndNoteBibliography"/>
        <w:spacing w:after="0"/>
        <w:ind w:left="720" w:hanging="720"/>
      </w:pPr>
      <w:r w:rsidRPr="00966446">
        <w:t>6.</w:t>
      </w:r>
      <w:r w:rsidRPr="00966446">
        <w:tab/>
        <w:t xml:space="preserve">Muccini, H., M. Sharaf, and D. Weyns. </w:t>
      </w:r>
      <w:r w:rsidRPr="00966446">
        <w:rPr>
          <w:i/>
        </w:rPr>
        <w:t>Self-adaptation for cyber-physical systems: a systematic literature review</w:t>
      </w:r>
      <w:r w:rsidRPr="00966446">
        <w:t xml:space="preserve">. in </w:t>
      </w:r>
      <w:r w:rsidRPr="00966446">
        <w:rPr>
          <w:i/>
        </w:rPr>
        <w:t>Proceedings of the 11th international symposium on software engineering for adaptive and self-managing systems</w:t>
      </w:r>
      <w:r w:rsidRPr="00966446">
        <w:t>. 2016.</w:t>
      </w:r>
    </w:p>
    <w:p w14:paraId="7EB184C0" w14:textId="77777777" w:rsidR="00966446" w:rsidRPr="00966446" w:rsidRDefault="00966446" w:rsidP="00966446">
      <w:pPr>
        <w:pStyle w:val="EndNoteBibliography"/>
        <w:spacing w:after="0"/>
        <w:ind w:left="720" w:hanging="720"/>
      </w:pPr>
      <w:r w:rsidRPr="00966446">
        <w:t>7.</w:t>
      </w:r>
      <w:r w:rsidRPr="00966446">
        <w:tab/>
        <w:t xml:space="preserve">Jamshidi, P., et al. </w:t>
      </w:r>
      <w:r w:rsidRPr="00966446">
        <w:rPr>
          <w:i/>
        </w:rPr>
        <w:t>Fuzzy self-learning controllers for elasticity management in dynamic cloud architectures</w:t>
      </w:r>
      <w:r w:rsidRPr="00966446">
        <w:t xml:space="preserve">. in </w:t>
      </w:r>
      <w:r w:rsidRPr="00966446">
        <w:rPr>
          <w:i/>
        </w:rPr>
        <w:t>2016 12th International ACM SIGSOFT Conference on Quality of Software Architectures (QoSA)</w:t>
      </w:r>
      <w:r w:rsidRPr="00966446">
        <w:t>. 2016. IEEE.</w:t>
      </w:r>
    </w:p>
    <w:p w14:paraId="19875037" w14:textId="77777777" w:rsidR="00966446" w:rsidRPr="00966446" w:rsidRDefault="00966446" w:rsidP="00966446">
      <w:pPr>
        <w:pStyle w:val="EndNoteBibliography"/>
        <w:spacing w:after="0"/>
        <w:ind w:left="720" w:hanging="720"/>
      </w:pPr>
      <w:r w:rsidRPr="00966446">
        <w:t>8.</w:t>
      </w:r>
      <w:r w:rsidRPr="00966446">
        <w:tab/>
        <w:t xml:space="preserve">Castañeda, L., N.M. Villegas, and H.A. Müller. </w:t>
      </w:r>
      <w:r w:rsidRPr="00966446">
        <w:rPr>
          <w:i/>
        </w:rPr>
        <w:t>Self-adaptive applications: On the development of personalized web-tasking systems</w:t>
      </w:r>
      <w:r w:rsidRPr="00966446">
        <w:t xml:space="preserve">. in </w:t>
      </w:r>
      <w:r w:rsidRPr="00966446">
        <w:rPr>
          <w:i/>
        </w:rPr>
        <w:t>Proceedings of the 9th international symposium on software engineering for adaptive and self-managing systems</w:t>
      </w:r>
      <w:r w:rsidRPr="00966446">
        <w:t>. 2014.</w:t>
      </w:r>
    </w:p>
    <w:p w14:paraId="2A5067AF" w14:textId="77777777" w:rsidR="00966446" w:rsidRPr="00966446" w:rsidRDefault="00966446" w:rsidP="00966446">
      <w:pPr>
        <w:pStyle w:val="EndNoteBibliography"/>
        <w:spacing w:after="0"/>
        <w:ind w:left="720" w:hanging="720"/>
      </w:pPr>
      <w:r w:rsidRPr="00966446">
        <w:t>9.</w:t>
      </w:r>
      <w:r w:rsidRPr="00966446">
        <w:tab/>
        <w:t xml:space="preserve">Weyns, D., et al. </w:t>
      </w:r>
      <w:r w:rsidRPr="00966446">
        <w:rPr>
          <w:i/>
        </w:rPr>
        <w:t>Perpetual assurances for self-adaptive systems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5723BB2D" w14:textId="77777777" w:rsidR="00966446" w:rsidRPr="00966446" w:rsidRDefault="00966446" w:rsidP="00966446">
      <w:pPr>
        <w:pStyle w:val="EndNoteBibliography"/>
        <w:spacing w:after="0"/>
        <w:ind w:left="720" w:hanging="720"/>
      </w:pPr>
      <w:r w:rsidRPr="00966446">
        <w:t>10.</w:t>
      </w:r>
      <w:r w:rsidRPr="00966446">
        <w:tab/>
        <w:t xml:space="preserve">De Lemos, R., et al. </w:t>
      </w:r>
      <w:r w:rsidRPr="00966446">
        <w:rPr>
          <w:i/>
        </w:rPr>
        <w:t>Software engineering for self-adaptive systems: Research challenges in the provision of assurances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4E3923E7" w14:textId="77777777" w:rsidR="00966446" w:rsidRPr="00966446" w:rsidRDefault="00966446" w:rsidP="00966446">
      <w:pPr>
        <w:pStyle w:val="EndNoteBibliography"/>
        <w:spacing w:after="0"/>
        <w:ind w:left="720" w:hanging="720"/>
      </w:pPr>
      <w:r w:rsidRPr="00966446">
        <w:t>11.</w:t>
      </w:r>
      <w:r w:rsidRPr="00966446">
        <w:tab/>
        <w:t xml:space="preserve">Calinescu, R., et al., </w:t>
      </w:r>
      <w:r w:rsidRPr="00966446">
        <w:rPr>
          <w:i/>
        </w:rPr>
        <w:t>Dynamic QoS management and optimization in service-based systems.</w:t>
      </w:r>
      <w:r w:rsidRPr="00966446">
        <w:t xml:space="preserve"> IEEE Transactions on Software Engineering, 2010. </w:t>
      </w:r>
      <w:r w:rsidRPr="00966446">
        <w:rPr>
          <w:b/>
        </w:rPr>
        <w:t>37</w:t>
      </w:r>
      <w:r w:rsidRPr="00966446">
        <w:t>(3): p. 387-409.</w:t>
      </w:r>
    </w:p>
    <w:p w14:paraId="3E86317C" w14:textId="77777777" w:rsidR="00966446" w:rsidRPr="00966446" w:rsidRDefault="00966446" w:rsidP="00966446">
      <w:pPr>
        <w:pStyle w:val="EndNoteBibliography"/>
        <w:spacing w:after="0"/>
        <w:ind w:left="720" w:hanging="720"/>
      </w:pPr>
      <w:r w:rsidRPr="00966446">
        <w:t>12.</w:t>
      </w:r>
      <w:r w:rsidRPr="00966446">
        <w:tab/>
        <w:t xml:space="preserve">Moreno, G.A., et al. </w:t>
      </w:r>
      <w:r w:rsidRPr="00966446">
        <w:rPr>
          <w:i/>
        </w:rPr>
        <w:t>Proactive self-adaptation under uncertainty: a probabilistic model checking approach</w:t>
      </w:r>
      <w:r w:rsidRPr="00966446">
        <w:t xml:space="preserve">. in </w:t>
      </w:r>
      <w:r w:rsidRPr="00966446">
        <w:rPr>
          <w:i/>
        </w:rPr>
        <w:t>Proceedings of the 2015 10th joint meeting on foundations of software engineering</w:t>
      </w:r>
      <w:r w:rsidRPr="00966446">
        <w:t>. 2015.</w:t>
      </w:r>
    </w:p>
    <w:p w14:paraId="5743BE70" w14:textId="77777777" w:rsidR="00966446" w:rsidRPr="00966446" w:rsidRDefault="00966446" w:rsidP="00966446">
      <w:pPr>
        <w:pStyle w:val="EndNoteBibliography"/>
        <w:spacing w:after="0"/>
        <w:ind w:left="720" w:hanging="720"/>
      </w:pPr>
      <w:r w:rsidRPr="00966446">
        <w:t>13.</w:t>
      </w:r>
      <w:r w:rsidRPr="00966446">
        <w:tab/>
        <w:t xml:space="preserve">Vivek, N., et al., </w:t>
      </w:r>
      <w:r w:rsidRPr="00966446">
        <w:rPr>
          <w:i/>
        </w:rPr>
        <w:t>Finding faster configurations using FLASH.</w:t>
      </w:r>
      <w:r w:rsidRPr="00966446">
        <w:t xml:space="preserve"> IEEE Transactions on Software Engineering, 2018.</w:t>
      </w:r>
    </w:p>
    <w:p w14:paraId="25F9829C" w14:textId="77777777" w:rsidR="00966446" w:rsidRPr="00966446" w:rsidRDefault="00966446" w:rsidP="00966446">
      <w:pPr>
        <w:pStyle w:val="EndNoteBibliography"/>
        <w:spacing w:after="0"/>
        <w:ind w:left="720" w:hanging="720"/>
      </w:pPr>
      <w:r w:rsidRPr="00966446">
        <w:t>14.</w:t>
      </w:r>
      <w:r w:rsidRPr="00966446">
        <w:tab/>
        <w:t xml:space="preserve">Metzger, A., et al., </w:t>
      </w:r>
      <w:r w:rsidRPr="00966446">
        <w:rPr>
          <w:i/>
        </w:rPr>
        <w:t>Feature-model-guided online learning for self-adaptive systems, vol. 12571.</w:t>
      </w:r>
      <w:r w:rsidRPr="00966446">
        <w:t xml:space="preserve"> 2020.</w:t>
      </w:r>
    </w:p>
    <w:p w14:paraId="397EFD93" w14:textId="77777777" w:rsidR="00966446" w:rsidRPr="00966446" w:rsidRDefault="00966446" w:rsidP="00966446">
      <w:pPr>
        <w:pStyle w:val="EndNoteBibliography"/>
        <w:spacing w:after="0"/>
        <w:ind w:left="720" w:hanging="720"/>
      </w:pPr>
      <w:r w:rsidRPr="00966446">
        <w:lastRenderedPageBreak/>
        <w:t>15.</w:t>
      </w:r>
      <w:r w:rsidRPr="00966446">
        <w:tab/>
        <w:t xml:space="preserve">Elkhodary, A., N. Esfahani, and S. Malek. </w:t>
      </w:r>
      <w:r w:rsidRPr="00966446">
        <w:rPr>
          <w:i/>
        </w:rPr>
        <w:t>FUSION: a framework for engineering self-tuning self-adaptive software systems</w:t>
      </w:r>
      <w:r w:rsidRPr="00966446">
        <w:t xml:space="preserve">. in </w:t>
      </w:r>
      <w:r w:rsidRPr="00966446">
        <w:rPr>
          <w:i/>
        </w:rPr>
        <w:t>Proceedings of the eighteenth ACM SIGSOFT international symposium on Foundations of software engineering</w:t>
      </w:r>
      <w:r w:rsidRPr="00966446">
        <w:t>. 2010.</w:t>
      </w:r>
    </w:p>
    <w:p w14:paraId="3F833AB7" w14:textId="77777777" w:rsidR="00966446" w:rsidRPr="00966446" w:rsidRDefault="00966446" w:rsidP="00966446">
      <w:pPr>
        <w:pStyle w:val="EndNoteBibliography"/>
        <w:spacing w:after="0"/>
        <w:ind w:left="720" w:hanging="720"/>
      </w:pPr>
      <w:r w:rsidRPr="00966446">
        <w:t>16.</w:t>
      </w:r>
      <w:r w:rsidRPr="00966446">
        <w:tab/>
        <w:t xml:space="preserve">Jamshidi, P., et al. </w:t>
      </w:r>
      <w:r w:rsidRPr="00966446">
        <w:rPr>
          <w:i/>
        </w:rPr>
        <w:t>Machine learning meets quantitative planning: Enabling self-adaptation in autonomous robots</w:t>
      </w:r>
      <w:r w:rsidRPr="00966446">
        <w:t xml:space="preserve">. in </w:t>
      </w:r>
      <w:r w:rsidRPr="00966446">
        <w:rPr>
          <w:i/>
        </w:rPr>
        <w:t>2019 IEEE/ACM 14th International Symposium on Software Engineering for Adaptive and Self-Managing Systems (SEAMS)</w:t>
      </w:r>
      <w:r w:rsidRPr="00966446">
        <w:t>. 2019. IEEE.</w:t>
      </w:r>
    </w:p>
    <w:p w14:paraId="12523C12" w14:textId="77777777" w:rsidR="00966446" w:rsidRPr="00966446" w:rsidRDefault="00966446" w:rsidP="00966446">
      <w:pPr>
        <w:pStyle w:val="EndNoteBibliography"/>
        <w:spacing w:after="0"/>
        <w:ind w:left="720" w:hanging="720"/>
      </w:pPr>
      <w:r w:rsidRPr="00966446">
        <w:t>17.</w:t>
      </w:r>
      <w:r w:rsidRPr="00966446">
        <w:tab/>
        <w:t xml:space="preserve">Quin, F., et al. </w:t>
      </w:r>
      <w:r w:rsidRPr="00966446">
        <w:rPr>
          <w:i/>
        </w:rPr>
        <w:t>Efficient analysis of large adaptation spaces in self-adaptive systems using machine learning</w:t>
      </w:r>
      <w:r w:rsidRPr="00966446">
        <w:t xml:space="preserve">. in </w:t>
      </w:r>
      <w:r w:rsidRPr="00966446">
        <w:rPr>
          <w:i/>
        </w:rPr>
        <w:t>2019 IEEE/ACM 14th International Symposium on Software Engineering for Adaptive and Self-Managing Systems (SEAMS)</w:t>
      </w:r>
      <w:r w:rsidRPr="00966446">
        <w:t>. 2019. IEEE.</w:t>
      </w:r>
    </w:p>
    <w:p w14:paraId="24A8DAEE" w14:textId="77777777" w:rsidR="00966446" w:rsidRPr="00966446" w:rsidRDefault="00966446" w:rsidP="00966446">
      <w:pPr>
        <w:pStyle w:val="EndNoteBibliography"/>
        <w:spacing w:after="0"/>
        <w:ind w:left="720" w:hanging="720"/>
      </w:pPr>
      <w:r w:rsidRPr="00966446">
        <w:t>18.</w:t>
      </w:r>
      <w:r w:rsidRPr="00966446">
        <w:tab/>
        <w:t xml:space="preserve">Weyns, D., et al., </w:t>
      </w:r>
      <w:r w:rsidRPr="00966446">
        <w:rPr>
          <w:i/>
        </w:rPr>
        <w:t>Deep Learning for Effective and Efficient Reduction of Large Adaptation Spaces in Self-Adaptive Systems.</w:t>
      </w:r>
      <w:r w:rsidRPr="00966446">
        <w:t xml:space="preserve"> arXiv preprint arXiv:2204.06254, 2022.</w:t>
      </w:r>
    </w:p>
    <w:p w14:paraId="622843DF" w14:textId="77777777" w:rsidR="00966446" w:rsidRPr="00966446" w:rsidRDefault="00966446" w:rsidP="00966446">
      <w:pPr>
        <w:pStyle w:val="EndNoteBibliography"/>
        <w:spacing w:after="0"/>
        <w:ind w:left="720" w:hanging="720"/>
      </w:pPr>
      <w:r w:rsidRPr="00966446">
        <w:t>19.</w:t>
      </w:r>
      <w:r w:rsidRPr="00966446">
        <w:tab/>
        <w:t xml:space="preserve">Quin, F., D. Weyns, and O. Gheibi, </w:t>
      </w:r>
      <w:r w:rsidRPr="00966446">
        <w:rPr>
          <w:i/>
        </w:rPr>
        <w:t>Reducing large adaptation spaces in self-adaptive systems using machine learning.</w:t>
      </w:r>
      <w:r w:rsidRPr="00966446">
        <w:t xml:space="preserve"> Journal of Systems and Software, 2022: p. 111341.</w:t>
      </w:r>
    </w:p>
    <w:p w14:paraId="21C02504" w14:textId="77777777" w:rsidR="00966446" w:rsidRPr="00966446" w:rsidRDefault="00966446" w:rsidP="00966446">
      <w:pPr>
        <w:pStyle w:val="EndNoteBibliography"/>
        <w:spacing w:after="0"/>
        <w:ind w:left="720" w:hanging="720"/>
      </w:pPr>
      <w:r w:rsidRPr="00966446">
        <w:t>20.</w:t>
      </w:r>
      <w:r w:rsidRPr="00966446">
        <w:tab/>
        <w:t xml:space="preserve">Iftikhar, M.U., et al. </w:t>
      </w:r>
      <w:r w:rsidRPr="00966446">
        <w:rPr>
          <w:i/>
        </w:rPr>
        <w:t>Deltaiot: A self-adaptive internet of things exemplar</w:t>
      </w:r>
      <w:r w:rsidRPr="00966446">
        <w:t xml:space="preserve">. in </w:t>
      </w:r>
      <w:r w:rsidRPr="00966446">
        <w:rPr>
          <w:i/>
        </w:rPr>
        <w:t>2017 IEEE/ACM 12th International Symposium on Software Engineering for Adaptive and Self-Managing Systems (SEAMS)</w:t>
      </w:r>
      <w:r w:rsidRPr="00966446">
        <w:t>. 2017. IEEE.</w:t>
      </w:r>
    </w:p>
    <w:p w14:paraId="40D4D83B" w14:textId="77777777" w:rsidR="00966446" w:rsidRPr="00966446" w:rsidRDefault="00966446" w:rsidP="00966446">
      <w:pPr>
        <w:pStyle w:val="EndNoteBibliography"/>
        <w:spacing w:after="0"/>
        <w:ind w:left="720" w:hanging="720"/>
      </w:pPr>
      <w:r w:rsidRPr="00966446">
        <w:t>21.</w:t>
      </w:r>
      <w:r w:rsidRPr="00966446">
        <w:tab/>
        <w:t xml:space="preserve">Kephart, J.O. and D.M. Chess, </w:t>
      </w:r>
      <w:r w:rsidRPr="00966446">
        <w:rPr>
          <w:i/>
        </w:rPr>
        <w:t>The vision of autonomic computing.</w:t>
      </w:r>
      <w:r w:rsidRPr="00966446">
        <w:t xml:space="preserve"> Computer, 2003. </w:t>
      </w:r>
      <w:r w:rsidRPr="00966446">
        <w:rPr>
          <w:b/>
        </w:rPr>
        <w:t>36</w:t>
      </w:r>
      <w:r w:rsidRPr="00966446">
        <w:t>(1): p. 41-50.</w:t>
      </w:r>
    </w:p>
    <w:p w14:paraId="5DD128B8" w14:textId="77777777" w:rsidR="00966446" w:rsidRPr="00966446" w:rsidRDefault="00966446" w:rsidP="00966446">
      <w:pPr>
        <w:pStyle w:val="EndNoteBibliography"/>
        <w:spacing w:after="0"/>
        <w:ind w:left="720" w:hanging="720"/>
      </w:pPr>
      <w:r w:rsidRPr="00966446">
        <w:t>22.</w:t>
      </w:r>
      <w:r w:rsidRPr="00966446">
        <w:tab/>
        <w:t xml:space="preserve">Mnih, V., et al., </w:t>
      </w:r>
      <w:r w:rsidRPr="00966446">
        <w:rPr>
          <w:i/>
        </w:rPr>
        <w:t>Human-level control through deep reinforcement learning.</w:t>
      </w:r>
      <w:r w:rsidRPr="00966446">
        <w:t xml:space="preserve"> nature, 2015. </w:t>
      </w:r>
      <w:r w:rsidRPr="00966446">
        <w:rPr>
          <w:b/>
        </w:rPr>
        <w:t>518</w:t>
      </w:r>
      <w:r w:rsidRPr="00966446">
        <w:t>(7540): p. 529-533.</w:t>
      </w:r>
    </w:p>
    <w:p w14:paraId="3E133351" w14:textId="77777777" w:rsidR="00966446" w:rsidRPr="00966446" w:rsidRDefault="00966446" w:rsidP="00966446">
      <w:pPr>
        <w:pStyle w:val="EndNoteBibliography"/>
        <w:spacing w:after="0"/>
        <w:ind w:left="720" w:hanging="720"/>
      </w:pPr>
      <w:r w:rsidRPr="00966446">
        <w:t>23.</w:t>
      </w:r>
      <w:r w:rsidRPr="00966446">
        <w:tab/>
        <w:t xml:space="preserve">Montague, P.R., </w:t>
      </w:r>
      <w:r w:rsidRPr="00966446">
        <w:rPr>
          <w:i/>
        </w:rPr>
        <w:t>Reinforcement learning: an introduction, by Sutton, RS and Barto, AG.</w:t>
      </w:r>
      <w:r w:rsidRPr="00966446">
        <w:t xml:space="preserve"> Trends in cognitive sciences, 1999. </w:t>
      </w:r>
      <w:r w:rsidRPr="00966446">
        <w:rPr>
          <w:b/>
        </w:rPr>
        <w:t>3</w:t>
      </w:r>
      <w:r w:rsidRPr="00966446">
        <w:t>(9): p. 360.</w:t>
      </w:r>
    </w:p>
    <w:p w14:paraId="2197FDAD" w14:textId="77777777" w:rsidR="00966446" w:rsidRPr="00966446" w:rsidRDefault="00966446" w:rsidP="00966446">
      <w:pPr>
        <w:pStyle w:val="EndNoteBibliography"/>
        <w:spacing w:after="0"/>
        <w:ind w:left="720" w:hanging="720"/>
      </w:pPr>
      <w:r w:rsidRPr="00966446">
        <w:t>24.</w:t>
      </w:r>
      <w:r w:rsidRPr="00966446">
        <w:tab/>
        <w:t xml:space="preserve">David, A., et al., </w:t>
      </w:r>
      <w:r w:rsidRPr="00966446">
        <w:rPr>
          <w:i/>
        </w:rPr>
        <w:t>Uppaal SMC tutorial.</w:t>
      </w:r>
      <w:r w:rsidRPr="00966446">
        <w:t xml:space="preserve"> International journal on software tools for technology transfer, 2015. </w:t>
      </w:r>
      <w:r w:rsidRPr="00966446">
        <w:rPr>
          <w:b/>
        </w:rPr>
        <w:t>17</w:t>
      </w:r>
      <w:r w:rsidRPr="00966446">
        <w:t>: p. 397-415.</w:t>
      </w:r>
    </w:p>
    <w:p w14:paraId="271591E1" w14:textId="77777777" w:rsidR="00966446" w:rsidRPr="00966446" w:rsidRDefault="00966446" w:rsidP="00966446">
      <w:pPr>
        <w:pStyle w:val="EndNoteBibliography"/>
        <w:spacing w:after="0"/>
        <w:ind w:left="720" w:hanging="720"/>
      </w:pPr>
      <w:r w:rsidRPr="00966446">
        <w:t>25.</w:t>
      </w:r>
      <w:r w:rsidRPr="00966446">
        <w:tab/>
        <w:t xml:space="preserve">Weyns, D. and U.M. Iftikhar, </w:t>
      </w:r>
      <w:r w:rsidRPr="00966446">
        <w:rPr>
          <w:i/>
        </w:rPr>
        <w:t>ActivFORMS: A formally founded model-based approach to engineer self-adaptive systems.</w:t>
      </w:r>
      <w:r w:rsidRPr="00966446">
        <w:t xml:space="preserve"> ACM Transactions on Software Engineering and Methodology, 2023. </w:t>
      </w:r>
      <w:r w:rsidRPr="00966446">
        <w:rPr>
          <w:b/>
        </w:rPr>
        <w:t>32</w:t>
      </w:r>
      <w:r w:rsidRPr="00966446">
        <w:t>(1): p. 1-48.</w:t>
      </w:r>
    </w:p>
    <w:p w14:paraId="0309528B" w14:textId="77777777" w:rsidR="00966446" w:rsidRPr="00966446" w:rsidRDefault="00966446" w:rsidP="00966446">
      <w:pPr>
        <w:pStyle w:val="EndNoteBibliography"/>
        <w:spacing w:after="0"/>
        <w:ind w:left="720" w:hanging="720"/>
      </w:pPr>
      <w:r w:rsidRPr="00966446">
        <w:t>26.</w:t>
      </w:r>
      <w:r w:rsidRPr="00966446">
        <w:tab/>
        <w:t xml:space="preserve">Kachi, F. and C. Bouanaka, </w:t>
      </w:r>
      <w:r w:rsidRPr="00966446">
        <w:rPr>
          <w:i/>
        </w:rPr>
        <w:t>A hybrid model for efficient decision-making in self-adaptive systems.</w:t>
      </w:r>
      <w:r w:rsidRPr="00966446">
        <w:t xml:space="preserve"> Information and Software Technology, 2023. </w:t>
      </w:r>
      <w:r w:rsidRPr="00966446">
        <w:rPr>
          <w:b/>
        </w:rPr>
        <w:t>153</w:t>
      </w:r>
      <w:r w:rsidRPr="00966446">
        <w:t>: p. 107063.</w:t>
      </w:r>
    </w:p>
    <w:p w14:paraId="3502A3E5" w14:textId="77777777" w:rsidR="00966446" w:rsidRPr="00966446" w:rsidRDefault="00966446" w:rsidP="00966446">
      <w:pPr>
        <w:pStyle w:val="EndNoteBibliography"/>
        <w:spacing w:after="0"/>
        <w:ind w:left="720" w:hanging="720"/>
      </w:pPr>
      <w:r w:rsidRPr="00966446">
        <w:t>27.</w:t>
      </w:r>
      <w:r w:rsidRPr="00966446">
        <w:tab/>
        <w:t xml:space="preserve">Van Der Donckt, J., et al. </w:t>
      </w:r>
      <w:r w:rsidRPr="00966446">
        <w:rPr>
          <w:i/>
        </w:rPr>
        <w:t>Applying deep learning to reduce large adaptation spaces of self-adaptive systems with multiple types of goals</w:t>
      </w:r>
      <w:r w:rsidRPr="00966446">
        <w:t xml:space="preserve">. in </w:t>
      </w:r>
      <w:r w:rsidRPr="00966446">
        <w:rPr>
          <w:i/>
        </w:rPr>
        <w:t>Proceedings of the IEEE/ACM 15th International Symposium on Software Engineering for Adaptive and Self-Managing Systems</w:t>
      </w:r>
      <w:r w:rsidRPr="00966446">
        <w:t>. 2020.</w:t>
      </w:r>
    </w:p>
    <w:p w14:paraId="5C9DB8D2" w14:textId="77777777" w:rsidR="00966446" w:rsidRPr="00966446" w:rsidRDefault="00966446" w:rsidP="00966446">
      <w:pPr>
        <w:pStyle w:val="EndNoteBibliography"/>
        <w:spacing w:after="0"/>
        <w:ind w:left="720" w:hanging="720"/>
      </w:pPr>
      <w:r w:rsidRPr="00966446">
        <w:t>28.</w:t>
      </w:r>
      <w:r w:rsidRPr="00966446">
        <w:tab/>
        <w:t xml:space="preserve">Kwiatkowska, M., G. Norman, and D. Parker. </w:t>
      </w:r>
      <w:r w:rsidRPr="00966446">
        <w:rPr>
          <w:i/>
        </w:rPr>
        <w:t>PRISM: Probabilistic symbolic model checker</w:t>
      </w:r>
      <w:r w:rsidRPr="00966446">
        <w:t xml:space="preserve">. in </w:t>
      </w:r>
      <w:r w:rsidRPr="00966446">
        <w:rPr>
          <w:i/>
        </w:rPr>
        <w:t>International Conference on Modelling Techniques and Tools for Computer Performance Evaluation</w:t>
      </w:r>
      <w:r w:rsidRPr="00966446">
        <w:t>. 2002. Springer.</w:t>
      </w:r>
    </w:p>
    <w:p w14:paraId="19D3EB1C" w14:textId="77777777" w:rsidR="00966446" w:rsidRPr="00966446" w:rsidRDefault="00966446" w:rsidP="00966446">
      <w:pPr>
        <w:pStyle w:val="EndNoteBibliography"/>
        <w:spacing w:after="0"/>
        <w:ind w:left="720" w:hanging="720"/>
      </w:pPr>
      <w:r w:rsidRPr="00966446">
        <w:t>29.</w:t>
      </w:r>
      <w:r w:rsidRPr="00966446">
        <w:tab/>
        <w:t xml:space="preserve">Coker, Z., D. Garlan, and C.L. Goues. </w:t>
      </w:r>
      <w:r w:rsidRPr="00966446">
        <w:rPr>
          <w:i/>
        </w:rPr>
        <w:t>SASS: Self-Adaptation Using Stochastic Search</w:t>
      </w:r>
      <w:r w:rsidRPr="00966446">
        <w:t xml:space="preserve">. in </w:t>
      </w:r>
      <w:r w:rsidRPr="00966446">
        <w:rPr>
          <w:i/>
        </w:rPr>
        <w:t>10th International Symposium on Software Engineering for Adaptive and Self-Managing Systems, SEAMS 2015</w:t>
      </w:r>
      <w:r w:rsidRPr="00966446">
        <w:t>. 2015. Institute of Electrical and Electronics Engineers Inc.</w:t>
      </w:r>
    </w:p>
    <w:p w14:paraId="12F36F2D" w14:textId="77777777" w:rsidR="00966446" w:rsidRPr="00966446" w:rsidRDefault="00966446" w:rsidP="00966446">
      <w:pPr>
        <w:pStyle w:val="EndNoteBibliography"/>
        <w:spacing w:after="0"/>
        <w:ind w:left="720" w:hanging="720"/>
      </w:pPr>
      <w:r w:rsidRPr="00966446">
        <w:t>30.</w:t>
      </w:r>
      <w:r w:rsidRPr="00966446">
        <w:tab/>
        <w:t xml:space="preserve">Kinneer, C., et al. </w:t>
      </w:r>
      <w:r w:rsidRPr="00966446">
        <w:rPr>
          <w:i/>
        </w:rPr>
        <w:t>Managing uncertainty in self-adaptive systems with plan reuse and stochastic search</w:t>
      </w:r>
      <w:r w:rsidRPr="00966446">
        <w:t xml:space="preserve">. in </w:t>
      </w:r>
      <w:r w:rsidRPr="00966446">
        <w:rPr>
          <w:i/>
        </w:rPr>
        <w:t xml:space="preserve">ACM/IEEE 13th International Symposium on Software Engineering for </w:t>
      </w:r>
      <w:r w:rsidRPr="00966446">
        <w:rPr>
          <w:i/>
        </w:rPr>
        <w:lastRenderedPageBreak/>
        <w:t>Adaptive and Self-Managing Systems, SEAMS 2018, , co-located with International Conference on Software Engineering, ICSE 2018</w:t>
      </w:r>
      <w:r w:rsidRPr="00966446">
        <w:t>. 2018. IEEE Computer Society.</w:t>
      </w:r>
    </w:p>
    <w:p w14:paraId="6EF80888" w14:textId="77777777" w:rsidR="00966446" w:rsidRPr="00966446" w:rsidRDefault="00966446" w:rsidP="00966446">
      <w:pPr>
        <w:pStyle w:val="EndNoteBibliography"/>
        <w:spacing w:after="0"/>
        <w:ind w:left="720" w:hanging="720"/>
      </w:pPr>
      <w:r w:rsidRPr="00966446">
        <w:t>31.</w:t>
      </w:r>
      <w:r w:rsidRPr="00966446">
        <w:tab/>
        <w:t xml:space="preserve">Kinneer, C., et al. </w:t>
      </w:r>
      <w:r w:rsidRPr="00966446">
        <w:rPr>
          <w:i/>
        </w:rPr>
        <w:t>Building reusable repertoires for stochastic self-* planners</w:t>
      </w:r>
      <w:r w:rsidRPr="00966446">
        <w:t xml:space="preserve">. in </w:t>
      </w:r>
      <w:r w:rsidRPr="00966446">
        <w:rPr>
          <w:i/>
        </w:rPr>
        <w:t>2020 IEEE International Conference on Autonomic Computing and Self-Organizing Systems (ACSOS)</w:t>
      </w:r>
      <w:r w:rsidRPr="00966446">
        <w:t>. 2020. IEEE.</w:t>
      </w:r>
    </w:p>
    <w:p w14:paraId="50008E1B" w14:textId="77777777" w:rsidR="00966446" w:rsidRPr="00966446" w:rsidRDefault="00966446" w:rsidP="00966446">
      <w:pPr>
        <w:pStyle w:val="EndNoteBibliography"/>
        <w:spacing w:after="0"/>
        <w:ind w:left="720" w:hanging="720"/>
      </w:pPr>
      <w:r w:rsidRPr="00966446">
        <w:t>32.</w:t>
      </w:r>
      <w:r w:rsidRPr="00966446">
        <w:tab/>
        <w:t xml:space="preserve">Kinneer, C., D. Garlan, and C.L. Goues, </w:t>
      </w:r>
      <w:r w:rsidRPr="00966446">
        <w:rPr>
          <w:i/>
        </w:rPr>
        <w:t>Information reuse and stochastic search: Managing uncertainty in self-* systems.</w:t>
      </w:r>
      <w:r w:rsidRPr="00966446">
        <w:t xml:space="preserve"> ACM Transactions on Autonomous and Adaptive Systems (TAAS), 2021. </w:t>
      </w:r>
      <w:r w:rsidRPr="00966446">
        <w:rPr>
          <w:b/>
        </w:rPr>
        <w:t>15</w:t>
      </w:r>
      <w:r w:rsidRPr="00966446">
        <w:t>(1): p. 1-36.</w:t>
      </w:r>
    </w:p>
    <w:p w14:paraId="1E5597ED" w14:textId="77777777" w:rsidR="00966446" w:rsidRPr="00966446" w:rsidRDefault="00966446" w:rsidP="00966446">
      <w:pPr>
        <w:pStyle w:val="EndNoteBibliography"/>
        <w:spacing w:after="0"/>
        <w:ind w:left="720" w:hanging="720"/>
      </w:pPr>
      <w:r w:rsidRPr="00966446">
        <w:t>33.</w:t>
      </w:r>
      <w:r w:rsidRPr="00966446">
        <w:tab/>
        <w:t xml:space="preserve">Chen, T., et al., </w:t>
      </w:r>
      <w:r w:rsidRPr="00966446">
        <w:rPr>
          <w:i/>
        </w:rPr>
        <w:t>FEMOSAA: Feature-guided and knee-driven multi-objective optimization for self-adaptive software.</w:t>
      </w:r>
      <w:r w:rsidRPr="00966446">
        <w:t xml:space="preserve"> ACM Transactions on Software Engineering and Methodology, 2018. </w:t>
      </w:r>
      <w:r w:rsidRPr="00966446">
        <w:rPr>
          <w:b/>
        </w:rPr>
        <w:t>27</w:t>
      </w:r>
      <w:r w:rsidRPr="00966446">
        <w:t>(2).</w:t>
      </w:r>
    </w:p>
    <w:p w14:paraId="6A0BEF0C" w14:textId="77777777" w:rsidR="00966446" w:rsidRPr="00966446" w:rsidRDefault="00966446" w:rsidP="00966446">
      <w:pPr>
        <w:pStyle w:val="EndNoteBibliography"/>
        <w:spacing w:after="0"/>
        <w:ind w:left="720" w:hanging="720"/>
      </w:pPr>
      <w:r w:rsidRPr="00966446">
        <w:t>34.</w:t>
      </w:r>
      <w:r w:rsidRPr="00966446">
        <w:tab/>
        <w:t xml:space="preserve">Pascual, G.G., M. Pinto, and L. Fuentes. </w:t>
      </w:r>
      <w:r w:rsidRPr="00966446">
        <w:rPr>
          <w:i/>
        </w:rPr>
        <w:t>Run-time adaptation of mobile applications using genetic algorithms</w:t>
      </w:r>
      <w:r w:rsidRPr="00966446">
        <w:t xml:space="preserve">. in </w:t>
      </w:r>
      <w:r w:rsidRPr="00966446">
        <w:rPr>
          <w:i/>
        </w:rPr>
        <w:t>2013 8th International Symposium on Software Engineering for Adaptive and Self-Managing Systems (SEAMS)</w:t>
      </w:r>
      <w:r w:rsidRPr="00966446">
        <w:t>. 2013. IEEE.</w:t>
      </w:r>
    </w:p>
    <w:p w14:paraId="5EA3D4A4" w14:textId="77777777" w:rsidR="00966446" w:rsidRPr="00966446" w:rsidRDefault="00966446" w:rsidP="00966446">
      <w:pPr>
        <w:pStyle w:val="EndNoteBibliography"/>
        <w:spacing w:after="0"/>
        <w:ind w:left="720" w:hanging="720"/>
      </w:pPr>
      <w:r w:rsidRPr="00966446">
        <w:t>35.</w:t>
      </w:r>
      <w:r w:rsidRPr="00966446">
        <w:tab/>
        <w:t xml:space="preserve">Kim, D. and S. Park. </w:t>
      </w:r>
      <w:r w:rsidRPr="00966446">
        <w:rPr>
          <w:i/>
        </w:rPr>
        <w:t>Reinforcement learning-based dynamic adaptation planning method for architecture-based self-managed software</w:t>
      </w:r>
      <w:r w:rsidRPr="00966446">
        <w:t xml:space="preserve">. in </w:t>
      </w:r>
      <w:r w:rsidRPr="00966446">
        <w:rPr>
          <w:i/>
        </w:rPr>
        <w:t>2009 ICSE Workshop on Software Engineering for Adaptive and Self-Managing Systems</w:t>
      </w:r>
      <w:r w:rsidRPr="00966446">
        <w:t>. 2009. IEEE.</w:t>
      </w:r>
    </w:p>
    <w:p w14:paraId="0AE6EA5B" w14:textId="77777777" w:rsidR="00966446" w:rsidRPr="00966446" w:rsidRDefault="00966446" w:rsidP="00966446">
      <w:pPr>
        <w:pStyle w:val="EndNoteBibliography"/>
        <w:spacing w:after="0"/>
        <w:ind w:left="720" w:hanging="720"/>
      </w:pPr>
      <w:r w:rsidRPr="00966446">
        <w:t>36.</w:t>
      </w:r>
      <w:r w:rsidRPr="00966446">
        <w:tab/>
        <w:t xml:space="preserve">Cámara, J., H. Muccini, and K. Vaidhyanathan. </w:t>
      </w:r>
      <w:r w:rsidRPr="00966446">
        <w:rPr>
          <w:i/>
        </w:rPr>
        <w:t>Quantitative verification-aided machine learning: A tandem approach for architecting self-adaptive iot systems</w:t>
      </w:r>
      <w:r w:rsidRPr="00966446">
        <w:t xml:space="preserve">. in </w:t>
      </w:r>
      <w:r w:rsidRPr="00966446">
        <w:rPr>
          <w:i/>
        </w:rPr>
        <w:t>2020 IEEE International Conference on Software Architecture (ICSA)</w:t>
      </w:r>
      <w:r w:rsidRPr="00966446">
        <w:t>. 2020. IEEE.</w:t>
      </w:r>
    </w:p>
    <w:p w14:paraId="4DA3E1A2" w14:textId="77777777" w:rsidR="00966446" w:rsidRPr="00966446" w:rsidRDefault="00966446" w:rsidP="00966446">
      <w:pPr>
        <w:pStyle w:val="EndNoteBibliography"/>
        <w:spacing w:after="0"/>
        <w:ind w:left="720" w:hanging="720"/>
      </w:pPr>
      <w:r w:rsidRPr="00966446">
        <w:t>37.</w:t>
      </w:r>
      <w:r w:rsidRPr="00966446">
        <w:tab/>
        <w:t xml:space="preserve">Metzger, A., et al., </w:t>
      </w:r>
      <w:r w:rsidRPr="00966446">
        <w:rPr>
          <w:i/>
        </w:rPr>
        <w:t>Realizing self-adaptive systems via online reinforcement learning and feature-model-guided exploration.</w:t>
      </w:r>
      <w:r w:rsidRPr="00966446">
        <w:t xml:space="preserve"> Computing, 2022: p. 1-22.</w:t>
      </w:r>
    </w:p>
    <w:p w14:paraId="20802BA0" w14:textId="77777777" w:rsidR="00966446" w:rsidRPr="00966446" w:rsidRDefault="00966446" w:rsidP="00966446">
      <w:pPr>
        <w:pStyle w:val="EndNoteBibliography"/>
        <w:spacing w:after="0"/>
        <w:ind w:left="720" w:hanging="720"/>
      </w:pPr>
      <w:r w:rsidRPr="00966446">
        <w:t>38.</w:t>
      </w:r>
      <w:r w:rsidRPr="00966446">
        <w:tab/>
        <w:t xml:space="preserve">Caporuscio, M., et al. </w:t>
      </w:r>
      <w:r w:rsidRPr="00966446">
        <w:rPr>
          <w:i/>
        </w:rPr>
        <w:t>Reinforcement learning techniques for decentralized self-adaptive service assembly</w:t>
      </w:r>
      <w:r w:rsidRPr="00966446">
        <w:t xml:space="preserve">. in </w:t>
      </w:r>
      <w:r w:rsidRPr="00966446">
        <w:rPr>
          <w:i/>
        </w:rPr>
        <w:t>Service-Oriented and Cloud Computing: 5th IFIP WG 2.14 European Conference, ESOCC 2016, Vienna, Austria, September 5-7, 2016, Proceedings 5</w:t>
      </w:r>
      <w:r w:rsidRPr="00966446">
        <w:t>. 2016. Springer.</w:t>
      </w:r>
    </w:p>
    <w:p w14:paraId="6A873FBB" w14:textId="77777777" w:rsidR="00966446" w:rsidRPr="00966446" w:rsidRDefault="00966446" w:rsidP="00966446">
      <w:pPr>
        <w:pStyle w:val="EndNoteBibliography"/>
        <w:spacing w:after="0"/>
        <w:ind w:left="720" w:hanging="720"/>
      </w:pPr>
      <w:r w:rsidRPr="00966446">
        <w:t>39.</w:t>
      </w:r>
      <w:r w:rsidRPr="00966446">
        <w:tab/>
        <w:t xml:space="preserve">Barrett, E., E. Howley, and J. Duggan, </w:t>
      </w:r>
      <w:r w:rsidRPr="00966446">
        <w:rPr>
          <w:i/>
        </w:rPr>
        <w:t>Applying reinforcement learning towards automating resource allocation and application scalability in the cloud.</w:t>
      </w:r>
      <w:r w:rsidRPr="00966446">
        <w:t xml:space="preserve"> Concurrency and computation: practice and experience, 2013. </w:t>
      </w:r>
      <w:r w:rsidRPr="00966446">
        <w:rPr>
          <w:b/>
        </w:rPr>
        <w:t>25</w:t>
      </w:r>
      <w:r w:rsidRPr="00966446">
        <w:t>(12): p. 1656-1674.</w:t>
      </w:r>
    </w:p>
    <w:p w14:paraId="0A0A4982" w14:textId="77777777" w:rsidR="00966446" w:rsidRPr="00966446" w:rsidRDefault="00966446" w:rsidP="00966446">
      <w:pPr>
        <w:pStyle w:val="EndNoteBibliography"/>
        <w:spacing w:after="0"/>
        <w:ind w:left="720" w:hanging="720"/>
      </w:pPr>
      <w:r w:rsidRPr="00966446">
        <w:t>40.</w:t>
      </w:r>
      <w:r w:rsidRPr="00966446">
        <w:tab/>
        <w:t xml:space="preserve">Arabnejad, H., et al. </w:t>
      </w:r>
      <w:r w:rsidRPr="00966446">
        <w:rPr>
          <w:i/>
        </w:rPr>
        <w:t>A comparison of reinforcement learning techniques for fuzzy cloud auto-scaling</w:t>
      </w:r>
      <w:r w:rsidRPr="00966446">
        <w:t xml:space="preserve">. in </w:t>
      </w:r>
      <w:r w:rsidRPr="00966446">
        <w:rPr>
          <w:i/>
        </w:rPr>
        <w:t>2017 17th IEEE/ACM international symposium on cluster, cloud and grid computing (CCGRID)</w:t>
      </w:r>
      <w:r w:rsidRPr="00966446">
        <w:t>. 2017. IEEE.</w:t>
      </w:r>
    </w:p>
    <w:p w14:paraId="4070AF91" w14:textId="77777777" w:rsidR="00966446" w:rsidRPr="00966446" w:rsidRDefault="00966446" w:rsidP="00966446">
      <w:pPr>
        <w:pStyle w:val="EndNoteBibliography"/>
        <w:spacing w:after="0"/>
        <w:ind w:left="720" w:hanging="720"/>
      </w:pPr>
      <w:r w:rsidRPr="00966446">
        <w:t>41.</w:t>
      </w:r>
      <w:r w:rsidRPr="00966446">
        <w:tab/>
        <w:t xml:space="preserve">Moustafa, A. and M. Zhang. </w:t>
      </w:r>
      <w:r w:rsidRPr="00966446">
        <w:rPr>
          <w:i/>
        </w:rPr>
        <w:t>Learning efficient compositions for QoS-aware service provisioning</w:t>
      </w:r>
      <w:r w:rsidRPr="00966446">
        <w:t xml:space="preserve">. in </w:t>
      </w:r>
      <w:r w:rsidRPr="00966446">
        <w:rPr>
          <w:i/>
        </w:rPr>
        <w:t>2014 IEEE International Conference on Web Services</w:t>
      </w:r>
      <w:r w:rsidRPr="00966446">
        <w:t>. 2014. IEEE.</w:t>
      </w:r>
    </w:p>
    <w:p w14:paraId="433BE244" w14:textId="77777777" w:rsidR="00966446" w:rsidRPr="00966446" w:rsidRDefault="00966446" w:rsidP="00966446">
      <w:pPr>
        <w:pStyle w:val="EndNoteBibliography"/>
        <w:spacing w:after="0"/>
        <w:ind w:left="720" w:hanging="720"/>
      </w:pPr>
      <w:r w:rsidRPr="00966446">
        <w:t>42.</w:t>
      </w:r>
      <w:r w:rsidRPr="00966446">
        <w:tab/>
        <w:t xml:space="preserve">Zhao, T., et al. </w:t>
      </w:r>
      <w:r w:rsidRPr="00966446">
        <w:rPr>
          <w:i/>
        </w:rPr>
        <w:t>A reinforcement learning-based framework for the generation and evolution of adaptation rules</w:t>
      </w:r>
      <w:r w:rsidRPr="00966446">
        <w:t xml:space="preserve">. in </w:t>
      </w:r>
      <w:r w:rsidRPr="00966446">
        <w:rPr>
          <w:i/>
        </w:rPr>
        <w:t>2017 IEEE International Conference on Autonomic Computing (ICAC)</w:t>
      </w:r>
      <w:r w:rsidRPr="00966446">
        <w:t>. 2017. IEEE.</w:t>
      </w:r>
    </w:p>
    <w:p w14:paraId="1CCC6F9C" w14:textId="77777777" w:rsidR="00966446" w:rsidRPr="00966446" w:rsidRDefault="00966446" w:rsidP="00966446">
      <w:pPr>
        <w:pStyle w:val="EndNoteBibliography"/>
        <w:spacing w:after="0"/>
        <w:ind w:left="720" w:hanging="720"/>
      </w:pPr>
      <w:r w:rsidRPr="00966446">
        <w:t>43.</w:t>
      </w:r>
      <w:r w:rsidRPr="00966446">
        <w:tab/>
        <w:t xml:space="preserve">Shaw, R., E. Howley, and E. Barrett, </w:t>
      </w:r>
      <w:r w:rsidRPr="00966446">
        <w:rPr>
          <w:i/>
        </w:rPr>
        <w:t>Applying reinforcement learning towards automating energy efficient virtual machine consolidation in cloud data centers.</w:t>
      </w:r>
      <w:r w:rsidRPr="00966446">
        <w:t xml:space="preserve"> Information Systems, 2022. </w:t>
      </w:r>
      <w:r w:rsidRPr="00966446">
        <w:rPr>
          <w:b/>
        </w:rPr>
        <w:t>107</w:t>
      </w:r>
      <w:r w:rsidRPr="00966446">
        <w:t>: p. 101722.</w:t>
      </w:r>
    </w:p>
    <w:p w14:paraId="3602C189" w14:textId="77777777" w:rsidR="00966446" w:rsidRPr="00966446" w:rsidRDefault="00966446" w:rsidP="00966446">
      <w:pPr>
        <w:pStyle w:val="EndNoteBibliography"/>
        <w:ind w:left="720" w:hanging="720"/>
      </w:pPr>
      <w:r w:rsidRPr="00966446">
        <w:lastRenderedPageBreak/>
        <w:t>44.</w:t>
      </w:r>
      <w:r w:rsidRPr="00966446">
        <w:tab/>
        <w:t xml:space="preserve">Iftikhar, M.U. and D. Weyns. </w:t>
      </w:r>
      <w:r w:rsidRPr="00966446">
        <w:rPr>
          <w:i/>
        </w:rPr>
        <w:t>Activforms: Active formal models for self-adaptation</w:t>
      </w:r>
      <w:r w:rsidRPr="00966446">
        <w:t xml:space="preserve">. in </w:t>
      </w:r>
      <w:r w:rsidRPr="00966446">
        <w:rPr>
          <w:i/>
        </w:rPr>
        <w:t>Proceedings of the 9th International Symposium on Software Engineering for Adaptive and Self-Managing Systems</w:t>
      </w:r>
      <w:r w:rsidRPr="00966446">
        <w:t>. 2014.</w:t>
      </w:r>
    </w:p>
    <w:p w14:paraId="5CF34ACB" w14:textId="7A17FE70" w:rsidR="00C109A6" w:rsidRPr="00C109A6" w:rsidRDefault="00577ACE" w:rsidP="00966446">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F0303" w14:textId="77777777" w:rsidR="00B54B6B" w:rsidRDefault="00B54B6B" w:rsidP="005B434B">
      <w:pPr>
        <w:spacing w:after="0" w:line="240" w:lineRule="auto"/>
      </w:pPr>
      <w:r>
        <w:separator/>
      </w:r>
    </w:p>
  </w:endnote>
  <w:endnote w:type="continuationSeparator" w:id="0">
    <w:p w14:paraId="489235DD" w14:textId="77777777" w:rsidR="00B54B6B" w:rsidRDefault="00B54B6B"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22E53" w14:textId="77777777" w:rsidR="00B54B6B" w:rsidRDefault="00B54B6B" w:rsidP="005B434B">
      <w:pPr>
        <w:spacing w:after="0" w:line="240" w:lineRule="auto"/>
      </w:pPr>
      <w:r>
        <w:separator/>
      </w:r>
    </w:p>
  </w:footnote>
  <w:footnote w:type="continuationSeparator" w:id="0">
    <w:p w14:paraId="45C59ECF" w14:textId="77777777" w:rsidR="00B54B6B" w:rsidRDefault="00B54B6B"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proofErr w:type="spellStart"/>
      <w:r w:rsidRPr="00BE2FD6">
        <w:rPr>
          <w:rFonts w:ascii="Linux Libertine O" w:eastAsia="Cambria" w:hAnsi="Linux Libertine O" w:cs="Linux Libertine O"/>
          <w:sz w:val="14"/>
          <w:szCs w:val="22"/>
        </w:rPr>
        <w:t>VersaSense</w:t>
      </w:r>
      <w:proofErr w:type="spellEnd"/>
      <w:r w:rsidRPr="00BE2FD6">
        <w:rPr>
          <w:rFonts w:ascii="Linux Libertine O" w:eastAsia="Cambria" w:hAnsi="Linux Libertine O" w:cs="Linux Libertine O"/>
          <w:sz w:val="14"/>
          <w:szCs w:val="22"/>
        </w:rPr>
        <w:t xml:space="preserv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 xml:space="preserve">Sensors used in </w:t>
      </w:r>
      <w:proofErr w:type="spellStart"/>
      <w:r w:rsidRPr="00046249">
        <w:rPr>
          <w:rFonts w:ascii="Linux Libertine O" w:eastAsia="Cambria" w:hAnsi="Linux Libertine O" w:cs="Linux Libertine O"/>
          <w:sz w:val="14"/>
          <w:szCs w:val="22"/>
        </w:rPr>
        <w:t>DeltaIoT</w:t>
      </w:r>
      <w:proofErr w:type="spellEnd"/>
      <w:r w:rsidRPr="00046249">
        <w:rPr>
          <w:rFonts w:ascii="Linux Libertine O" w:eastAsia="Cambria" w:hAnsi="Linux Libertine O" w:cs="Linux Libertine O"/>
          <w:sz w:val="14"/>
          <w:szCs w:val="22"/>
        </w:rPr>
        <w:t xml:space="preserve">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 xml:space="preserve">The communication in </w:t>
      </w:r>
      <w:proofErr w:type="spellStart"/>
      <w:r w:rsidRPr="005B3726">
        <w:rPr>
          <w:rFonts w:ascii="Linux Libertine O" w:eastAsia="Cambria" w:hAnsi="Linux Libertine O" w:cs="Linux Libertine O"/>
          <w:sz w:val="14"/>
          <w:szCs w:val="22"/>
        </w:rPr>
        <w:t>DeltaIoT</w:t>
      </w:r>
      <w:proofErr w:type="spellEnd"/>
      <w:r w:rsidRPr="005B3726">
        <w:rPr>
          <w:rFonts w:ascii="Linux Libertine O" w:eastAsia="Cambria" w:hAnsi="Linux Libertine O" w:cs="Linux Libertine O"/>
          <w:sz w:val="14"/>
          <w:szCs w:val="22"/>
        </w:rPr>
        <w:t xml:space="preserve">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B434B"/>
    <w:rsid w:val="000039AD"/>
    <w:rsid w:val="00004679"/>
    <w:rsid w:val="00005A9C"/>
    <w:rsid w:val="000069D2"/>
    <w:rsid w:val="00012108"/>
    <w:rsid w:val="000176E2"/>
    <w:rsid w:val="00020610"/>
    <w:rsid w:val="000227DD"/>
    <w:rsid w:val="00022B15"/>
    <w:rsid w:val="00022DDA"/>
    <w:rsid w:val="000233C9"/>
    <w:rsid w:val="0002682B"/>
    <w:rsid w:val="00026D96"/>
    <w:rsid w:val="000327F7"/>
    <w:rsid w:val="000354C3"/>
    <w:rsid w:val="000355F0"/>
    <w:rsid w:val="00043C49"/>
    <w:rsid w:val="00046249"/>
    <w:rsid w:val="000472F6"/>
    <w:rsid w:val="000476E6"/>
    <w:rsid w:val="000529CD"/>
    <w:rsid w:val="00054E0A"/>
    <w:rsid w:val="00057C82"/>
    <w:rsid w:val="00062F4C"/>
    <w:rsid w:val="0006592D"/>
    <w:rsid w:val="00070D69"/>
    <w:rsid w:val="00071157"/>
    <w:rsid w:val="00075918"/>
    <w:rsid w:val="00076664"/>
    <w:rsid w:val="00076D0E"/>
    <w:rsid w:val="00080C59"/>
    <w:rsid w:val="00082CCD"/>
    <w:rsid w:val="0008391F"/>
    <w:rsid w:val="000839DD"/>
    <w:rsid w:val="00083C1E"/>
    <w:rsid w:val="000879BF"/>
    <w:rsid w:val="00091D6F"/>
    <w:rsid w:val="0009314B"/>
    <w:rsid w:val="0009351B"/>
    <w:rsid w:val="00094AEF"/>
    <w:rsid w:val="000957B5"/>
    <w:rsid w:val="0009664C"/>
    <w:rsid w:val="00096B44"/>
    <w:rsid w:val="0009718A"/>
    <w:rsid w:val="000A5ADE"/>
    <w:rsid w:val="000B0489"/>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A035B"/>
    <w:rsid w:val="001A06A9"/>
    <w:rsid w:val="001A1FB9"/>
    <w:rsid w:val="001A32FE"/>
    <w:rsid w:val="001A4B7C"/>
    <w:rsid w:val="001B0C80"/>
    <w:rsid w:val="001B633D"/>
    <w:rsid w:val="001B716A"/>
    <w:rsid w:val="001B755B"/>
    <w:rsid w:val="001B797E"/>
    <w:rsid w:val="001B79DA"/>
    <w:rsid w:val="001C2AE2"/>
    <w:rsid w:val="001C4100"/>
    <w:rsid w:val="001C47A8"/>
    <w:rsid w:val="001C6FC6"/>
    <w:rsid w:val="001D2DC2"/>
    <w:rsid w:val="001D3707"/>
    <w:rsid w:val="001D3CDD"/>
    <w:rsid w:val="001D6D92"/>
    <w:rsid w:val="001D6E22"/>
    <w:rsid w:val="001E12F7"/>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42C7"/>
    <w:rsid w:val="00215AD0"/>
    <w:rsid w:val="00216097"/>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A25EA"/>
    <w:rsid w:val="002A4B3B"/>
    <w:rsid w:val="002A4B47"/>
    <w:rsid w:val="002A71AA"/>
    <w:rsid w:val="002A77B9"/>
    <w:rsid w:val="002B14BC"/>
    <w:rsid w:val="002B2AE2"/>
    <w:rsid w:val="002B315D"/>
    <w:rsid w:val="002B393E"/>
    <w:rsid w:val="002B5110"/>
    <w:rsid w:val="002C14B5"/>
    <w:rsid w:val="002C1984"/>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31B8"/>
    <w:rsid w:val="00313FA3"/>
    <w:rsid w:val="00315A59"/>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7239D"/>
    <w:rsid w:val="00374F78"/>
    <w:rsid w:val="003756D0"/>
    <w:rsid w:val="00380B9A"/>
    <w:rsid w:val="00380D86"/>
    <w:rsid w:val="003822EA"/>
    <w:rsid w:val="00383E3D"/>
    <w:rsid w:val="00392817"/>
    <w:rsid w:val="00393DA2"/>
    <w:rsid w:val="0039787B"/>
    <w:rsid w:val="003A1425"/>
    <w:rsid w:val="003A253B"/>
    <w:rsid w:val="003A2CAA"/>
    <w:rsid w:val="003A3A12"/>
    <w:rsid w:val="003A45C7"/>
    <w:rsid w:val="003A4F67"/>
    <w:rsid w:val="003A5B96"/>
    <w:rsid w:val="003A7380"/>
    <w:rsid w:val="003B660C"/>
    <w:rsid w:val="003C00B2"/>
    <w:rsid w:val="003C0A5C"/>
    <w:rsid w:val="003C0BF4"/>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062F"/>
    <w:rsid w:val="00432844"/>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15DD"/>
    <w:rsid w:val="0048211E"/>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79EF"/>
    <w:rsid w:val="00591445"/>
    <w:rsid w:val="00593D3B"/>
    <w:rsid w:val="00594731"/>
    <w:rsid w:val="005A143B"/>
    <w:rsid w:val="005A2089"/>
    <w:rsid w:val="005A2FFF"/>
    <w:rsid w:val="005A37CA"/>
    <w:rsid w:val="005A64BD"/>
    <w:rsid w:val="005A6F40"/>
    <w:rsid w:val="005A6FED"/>
    <w:rsid w:val="005A78AD"/>
    <w:rsid w:val="005A7DE5"/>
    <w:rsid w:val="005B3726"/>
    <w:rsid w:val="005B434B"/>
    <w:rsid w:val="005C0B56"/>
    <w:rsid w:val="005C198F"/>
    <w:rsid w:val="005C2A5A"/>
    <w:rsid w:val="005C347B"/>
    <w:rsid w:val="005C3913"/>
    <w:rsid w:val="005C483C"/>
    <w:rsid w:val="005C5283"/>
    <w:rsid w:val="005C5AAB"/>
    <w:rsid w:val="005C7750"/>
    <w:rsid w:val="005D23E9"/>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573C"/>
    <w:rsid w:val="006368FE"/>
    <w:rsid w:val="006370BD"/>
    <w:rsid w:val="00637561"/>
    <w:rsid w:val="006425CC"/>
    <w:rsid w:val="00644FA0"/>
    <w:rsid w:val="0064560A"/>
    <w:rsid w:val="0064641A"/>
    <w:rsid w:val="00647DBC"/>
    <w:rsid w:val="00650A52"/>
    <w:rsid w:val="00652252"/>
    <w:rsid w:val="006546EE"/>
    <w:rsid w:val="00657034"/>
    <w:rsid w:val="00661AA0"/>
    <w:rsid w:val="00664BE7"/>
    <w:rsid w:val="00665189"/>
    <w:rsid w:val="006678C9"/>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904"/>
    <w:rsid w:val="006A3321"/>
    <w:rsid w:val="006A6C15"/>
    <w:rsid w:val="006B5C30"/>
    <w:rsid w:val="006B6A35"/>
    <w:rsid w:val="006C302B"/>
    <w:rsid w:val="006C3790"/>
    <w:rsid w:val="006C7CBB"/>
    <w:rsid w:val="006C7D27"/>
    <w:rsid w:val="006D3DD0"/>
    <w:rsid w:val="006D44D5"/>
    <w:rsid w:val="006D44DE"/>
    <w:rsid w:val="006D4F8D"/>
    <w:rsid w:val="006E23A4"/>
    <w:rsid w:val="006E2F1B"/>
    <w:rsid w:val="006F27AE"/>
    <w:rsid w:val="006F54DA"/>
    <w:rsid w:val="00700AFE"/>
    <w:rsid w:val="007029C5"/>
    <w:rsid w:val="00702F7D"/>
    <w:rsid w:val="00714118"/>
    <w:rsid w:val="007159DA"/>
    <w:rsid w:val="00717BA8"/>
    <w:rsid w:val="00720D86"/>
    <w:rsid w:val="00720F9D"/>
    <w:rsid w:val="00725C07"/>
    <w:rsid w:val="00732706"/>
    <w:rsid w:val="00732946"/>
    <w:rsid w:val="00736C2B"/>
    <w:rsid w:val="0073700A"/>
    <w:rsid w:val="00737F1F"/>
    <w:rsid w:val="007460D5"/>
    <w:rsid w:val="00747EFE"/>
    <w:rsid w:val="0075088D"/>
    <w:rsid w:val="00752435"/>
    <w:rsid w:val="007556D0"/>
    <w:rsid w:val="00761B39"/>
    <w:rsid w:val="00766055"/>
    <w:rsid w:val="00767F9A"/>
    <w:rsid w:val="007711C9"/>
    <w:rsid w:val="0077639F"/>
    <w:rsid w:val="007764E7"/>
    <w:rsid w:val="00777332"/>
    <w:rsid w:val="00782034"/>
    <w:rsid w:val="00785E6D"/>
    <w:rsid w:val="00787042"/>
    <w:rsid w:val="00795E54"/>
    <w:rsid w:val="0079624F"/>
    <w:rsid w:val="007A035D"/>
    <w:rsid w:val="007A4A10"/>
    <w:rsid w:val="007A52F3"/>
    <w:rsid w:val="007B0D35"/>
    <w:rsid w:val="007B36F5"/>
    <w:rsid w:val="007B3C15"/>
    <w:rsid w:val="007B3FA1"/>
    <w:rsid w:val="007B4CA6"/>
    <w:rsid w:val="007B50E6"/>
    <w:rsid w:val="007B7344"/>
    <w:rsid w:val="007B7F16"/>
    <w:rsid w:val="007C04F9"/>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4076"/>
    <w:rsid w:val="00884E06"/>
    <w:rsid w:val="008863E1"/>
    <w:rsid w:val="0088768A"/>
    <w:rsid w:val="00890CD4"/>
    <w:rsid w:val="00891D2D"/>
    <w:rsid w:val="0089388E"/>
    <w:rsid w:val="00895629"/>
    <w:rsid w:val="00895B9B"/>
    <w:rsid w:val="00896490"/>
    <w:rsid w:val="008964D7"/>
    <w:rsid w:val="008967AE"/>
    <w:rsid w:val="008A05B6"/>
    <w:rsid w:val="008A44A6"/>
    <w:rsid w:val="008A61EF"/>
    <w:rsid w:val="008B0822"/>
    <w:rsid w:val="008B0B39"/>
    <w:rsid w:val="008B1D7A"/>
    <w:rsid w:val="008B3AE4"/>
    <w:rsid w:val="008B41E6"/>
    <w:rsid w:val="008B428E"/>
    <w:rsid w:val="008B6E43"/>
    <w:rsid w:val="008C0B62"/>
    <w:rsid w:val="008C2C8D"/>
    <w:rsid w:val="008D14C0"/>
    <w:rsid w:val="008D606A"/>
    <w:rsid w:val="008E0CE4"/>
    <w:rsid w:val="008E3A66"/>
    <w:rsid w:val="008E6E11"/>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63D2"/>
    <w:rsid w:val="00990D40"/>
    <w:rsid w:val="00991A46"/>
    <w:rsid w:val="0099370D"/>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20A9"/>
    <w:rsid w:val="009E3D2C"/>
    <w:rsid w:val="009F2E50"/>
    <w:rsid w:val="009F3A33"/>
    <w:rsid w:val="009F46EA"/>
    <w:rsid w:val="009F575E"/>
    <w:rsid w:val="009F639B"/>
    <w:rsid w:val="009F684F"/>
    <w:rsid w:val="00A01383"/>
    <w:rsid w:val="00A033F4"/>
    <w:rsid w:val="00A047A4"/>
    <w:rsid w:val="00A05079"/>
    <w:rsid w:val="00A11C36"/>
    <w:rsid w:val="00A11D94"/>
    <w:rsid w:val="00A11EF8"/>
    <w:rsid w:val="00A138DA"/>
    <w:rsid w:val="00A16941"/>
    <w:rsid w:val="00A21E86"/>
    <w:rsid w:val="00A21EBA"/>
    <w:rsid w:val="00A22265"/>
    <w:rsid w:val="00A264BB"/>
    <w:rsid w:val="00A26C66"/>
    <w:rsid w:val="00A26DE5"/>
    <w:rsid w:val="00A2749C"/>
    <w:rsid w:val="00A27A9F"/>
    <w:rsid w:val="00A27C59"/>
    <w:rsid w:val="00A302CC"/>
    <w:rsid w:val="00A31242"/>
    <w:rsid w:val="00A31244"/>
    <w:rsid w:val="00A32A2F"/>
    <w:rsid w:val="00A362E5"/>
    <w:rsid w:val="00A3685D"/>
    <w:rsid w:val="00A3741C"/>
    <w:rsid w:val="00A40BF5"/>
    <w:rsid w:val="00A41C89"/>
    <w:rsid w:val="00A43811"/>
    <w:rsid w:val="00A457F4"/>
    <w:rsid w:val="00A4704C"/>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87821"/>
    <w:rsid w:val="00A907FE"/>
    <w:rsid w:val="00A9195D"/>
    <w:rsid w:val="00A92355"/>
    <w:rsid w:val="00A97129"/>
    <w:rsid w:val="00A97EC5"/>
    <w:rsid w:val="00AA2199"/>
    <w:rsid w:val="00AA45B1"/>
    <w:rsid w:val="00AA5726"/>
    <w:rsid w:val="00AB4866"/>
    <w:rsid w:val="00AB595D"/>
    <w:rsid w:val="00AB5FCF"/>
    <w:rsid w:val="00AC0109"/>
    <w:rsid w:val="00AC09FB"/>
    <w:rsid w:val="00AC2124"/>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0BE1"/>
    <w:rsid w:val="00B31C94"/>
    <w:rsid w:val="00B33A4A"/>
    <w:rsid w:val="00B40EB1"/>
    <w:rsid w:val="00B43354"/>
    <w:rsid w:val="00B43F8C"/>
    <w:rsid w:val="00B4444F"/>
    <w:rsid w:val="00B459EA"/>
    <w:rsid w:val="00B51634"/>
    <w:rsid w:val="00B52AAE"/>
    <w:rsid w:val="00B53918"/>
    <w:rsid w:val="00B54B6B"/>
    <w:rsid w:val="00B56C53"/>
    <w:rsid w:val="00B643EA"/>
    <w:rsid w:val="00B657BD"/>
    <w:rsid w:val="00B700DA"/>
    <w:rsid w:val="00B71FB4"/>
    <w:rsid w:val="00B73013"/>
    <w:rsid w:val="00B73E57"/>
    <w:rsid w:val="00B75A3E"/>
    <w:rsid w:val="00B776AF"/>
    <w:rsid w:val="00B80895"/>
    <w:rsid w:val="00B8397F"/>
    <w:rsid w:val="00B84827"/>
    <w:rsid w:val="00B86964"/>
    <w:rsid w:val="00B870C0"/>
    <w:rsid w:val="00B904B4"/>
    <w:rsid w:val="00B915CB"/>
    <w:rsid w:val="00B946D6"/>
    <w:rsid w:val="00B9534E"/>
    <w:rsid w:val="00B95B74"/>
    <w:rsid w:val="00BA1EC7"/>
    <w:rsid w:val="00BA4578"/>
    <w:rsid w:val="00BA4C20"/>
    <w:rsid w:val="00BA4CAC"/>
    <w:rsid w:val="00BA57A6"/>
    <w:rsid w:val="00BA5EDF"/>
    <w:rsid w:val="00BA6274"/>
    <w:rsid w:val="00BB11A6"/>
    <w:rsid w:val="00BB15E0"/>
    <w:rsid w:val="00BB1C08"/>
    <w:rsid w:val="00BB413D"/>
    <w:rsid w:val="00BB52D0"/>
    <w:rsid w:val="00BB5318"/>
    <w:rsid w:val="00BB77D6"/>
    <w:rsid w:val="00BC28A9"/>
    <w:rsid w:val="00BC380B"/>
    <w:rsid w:val="00BD04E6"/>
    <w:rsid w:val="00BD0FE7"/>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31E30"/>
    <w:rsid w:val="00C32D40"/>
    <w:rsid w:val="00C349DC"/>
    <w:rsid w:val="00C35979"/>
    <w:rsid w:val="00C3674B"/>
    <w:rsid w:val="00C375CE"/>
    <w:rsid w:val="00C4092D"/>
    <w:rsid w:val="00C42E7F"/>
    <w:rsid w:val="00C43C1A"/>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3125"/>
    <w:rsid w:val="00CA4FD7"/>
    <w:rsid w:val="00CA5DD7"/>
    <w:rsid w:val="00CB0953"/>
    <w:rsid w:val="00CB17C8"/>
    <w:rsid w:val="00CB1AA6"/>
    <w:rsid w:val="00CB2512"/>
    <w:rsid w:val="00CB6B66"/>
    <w:rsid w:val="00CB7A44"/>
    <w:rsid w:val="00CC12D9"/>
    <w:rsid w:val="00CC4188"/>
    <w:rsid w:val="00CC5F6F"/>
    <w:rsid w:val="00CD2DE1"/>
    <w:rsid w:val="00CD384D"/>
    <w:rsid w:val="00CD435B"/>
    <w:rsid w:val="00CE0BED"/>
    <w:rsid w:val="00CE111D"/>
    <w:rsid w:val="00CE1D6F"/>
    <w:rsid w:val="00CE1D95"/>
    <w:rsid w:val="00CE3B4B"/>
    <w:rsid w:val="00CE49E9"/>
    <w:rsid w:val="00CE4D40"/>
    <w:rsid w:val="00CE5037"/>
    <w:rsid w:val="00CF3B66"/>
    <w:rsid w:val="00CF57C7"/>
    <w:rsid w:val="00CF684B"/>
    <w:rsid w:val="00D00FAE"/>
    <w:rsid w:val="00D01020"/>
    <w:rsid w:val="00D0105C"/>
    <w:rsid w:val="00D05511"/>
    <w:rsid w:val="00D055F2"/>
    <w:rsid w:val="00D0642B"/>
    <w:rsid w:val="00D07298"/>
    <w:rsid w:val="00D07947"/>
    <w:rsid w:val="00D1146F"/>
    <w:rsid w:val="00D13079"/>
    <w:rsid w:val="00D13F09"/>
    <w:rsid w:val="00D14143"/>
    <w:rsid w:val="00D14414"/>
    <w:rsid w:val="00D15CED"/>
    <w:rsid w:val="00D16A53"/>
    <w:rsid w:val="00D1737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4C1D"/>
    <w:rsid w:val="00D661B8"/>
    <w:rsid w:val="00D703B3"/>
    <w:rsid w:val="00D70A33"/>
    <w:rsid w:val="00D71610"/>
    <w:rsid w:val="00D71C4D"/>
    <w:rsid w:val="00D7424A"/>
    <w:rsid w:val="00D80C90"/>
    <w:rsid w:val="00D811CF"/>
    <w:rsid w:val="00D90EB5"/>
    <w:rsid w:val="00D913DB"/>
    <w:rsid w:val="00D92B1F"/>
    <w:rsid w:val="00D93821"/>
    <w:rsid w:val="00D9443E"/>
    <w:rsid w:val="00D96213"/>
    <w:rsid w:val="00DA1454"/>
    <w:rsid w:val="00DA16B8"/>
    <w:rsid w:val="00DA1CE2"/>
    <w:rsid w:val="00DA36A5"/>
    <w:rsid w:val="00DA3733"/>
    <w:rsid w:val="00DA40DC"/>
    <w:rsid w:val="00DA4F05"/>
    <w:rsid w:val="00DA6D19"/>
    <w:rsid w:val="00DA7306"/>
    <w:rsid w:val="00DB2B77"/>
    <w:rsid w:val="00DB48C5"/>
    <w:rsid w:val="00DB58F8"/>
    <w:rsid w:val="00DB6AC5"/>
    <w:rsid w:val="00DC1C43"/>
    <w:rsid w:val="00DC3C71"/>
    <w:rsid w:val="00DC3D01"/>
    <w:rsid w:val="00DC493C"/>
    <w:rsid w:val="00DC505C"/>
    <w:rsid w:val="00DC605A"/>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5CB9"/>
    <w:rsid w:val="00E36118"/>
    <w:rsid w:val="00E3676B"/>
    <w:rsid w:val="00E41229"/>
    <w:rsid w:val="00E43289"/>
    <w:rsid w:val="00E43531"/>
    <w:rsid w:val="00E44FB3"/>
    <w:rsid w:val="00E45524"/>
    <w:rsid w:val="00E46089"/>
    <w:rsid w:val="00E47250"/>
    <w:rsid w:val="00E52321"/>
    <w:rsid w:val="00E53CCD"/>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417C3"/>
    <w:rsid w:val="00F417D4"/>
    <w:rsid w:val="00F4201D"/>
    <w:rsid w:val="00F42A69"/>
    <w:rsid w:val="00F42CFC"/>
    <w:rsid w:val="00F43BAC"/>
    <w:rsid w:val="00F46728"/>
    <w:rsid w:val="00F46A6A"/>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29</Pages>
  <Words>16797</Words>
  <Characters>95744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2</cp:revision>
  <cp:lastPrinted>2023-11-17T06:29:00Z</cp:lastPrinted>
  <dcterms:created xsi:type="dcterms:W3CDTF">2023-12-04T03:13:00Z</dcterms:created>
  <dcterms:modified xsi:type="dcterms:W3CDTF">2023-12-04T03:13:00Z</dcterms:modified>
</cp:coreProperties>
</file>