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52" w:lineRule="auto"/>
        <w:jc w:val="right"/>
      </w:pPr>
      <w:r>
        <w:rPr>
          <w:rFonts w:ascii="Calibri" w:hAnsi="Calibri"/>
          <w:b w:val="0"/>
          <w:i w:val="0"/>
          <w:sz w:val="21"/>
        </w:rPr>
        <w:t>13 August 2026</w:t>
      </w:r>
    </w:p>
    <w:p>
      <w:pPr>
        <w:spacing w:before="0" w:after="0" w:line="252" w:lineRule="auto"/>
      </w:pPr>
      <w:r>
        <w:rPr>
          <w:rFonts w:ascii="Calibri" w:hAnsi="Calibri"/>
          <w:b w:val="0"/>
          <w:i w:val="0"/>
          <w:sz w:val="21"/>
        </w:rPr>
        <w:t>Dr Jadhav</w:t>
      </w:r>
    </w:p>
    <w:p>
      <w:pPr>
        <w:spacing w:before="0" w:after="0" w:line="252" w:lineRule="auto"/>
      </w:pPr>
      <w:r>
        <w:rPr>
          <w:rFonts w:ascii="Calibri" w:hAnsi="Calibri"/>
          <w:b w:val="0"/>
          <w:i w:val="0"/>
          <w:sz w:val="21"/>
        </w:rPr>
        <w:t>Editorial Board Member</w:t>
      </w:r>
    </w:p>
    <w:p>
      <w:pPr>
        <w:spacing w:before="0" w:after="0" w:line="252" w:lineRule="auto"/>
      </w:pPr>
      <w:r>
        <w:rPr>
          <w:rFonts w:ascii="Calibri" w:hAnsi="Calibri"/>
          <w:b w:val="0"/>
          <w:i w:val="0"/>
          <w:sz w:val="21"/>
        </w:rPr>
        <w:t>Scientific Reports</w:t>
      </w:r>
    </w:p>
    <w:p>
      <w:pPr>
        <w:spacing w:before="0" w:after="120" w:line="252" w:lineRule="auto"/>
      </w:pPr>
      <w:r>
        <w:rPr>
          <w:rFonts w:ascii="Calibri" w:hAnsi="Calibri"/>
          <w:b w:val="0"/>
          <w:i w:val="0"/>
          <w:sz w:val="21"/>
        </w:rPr>
      </w:r>
    </w:p>
    <w:p>
      <w:pPr>
        <w:spacing w:before="0" w:after="200" w:line="252" w:lineRule="auto"/>
      </w:pPr>
      <w:r>
        <w:rPr>
          <w:rFonts w:ascii="Calibri" w:hAnsi="Calibri"/>
          <w:b w:val="0"/>
          <w:i w:val="0"/>
          <w:sz w:val="21"/>
        </w:rPr>
      </w:r>
      <w:r>
        <w:rPr>
          <w:rFonts w:ascii="Calibri" w:hAnsi="Calibri"/>
          <w:b/>
          <w:sz w:val="21"/>
        </w:rPr>
        <w:t xml:space="preserve">Subject: </w:t>
      </w:r>
      <w:r>
        <w:rPr>
          <w:rFonts w:ascii="Calibri" w:hAnsi="Calibri"/>
          <w:sz w:val="21"/>
        </w:rPr>
        <w:t>Revision of manuscript “An Accuracy and Calibration Benchmark of scGPT Pipelines and Matched Classical Models for Cell Type Annotation” (Submission ID 12ef9a8a-5497-4180-b23f-174604d3eec4)</w:t>
      </w:r>
    </w:p>
    <w:p>
      <w:pPr>
        <w:spacing w:before="0" w:after="200" w:line="252" w:lineRule="auto"/>
      </w:pPr>
      <w:r>
        <w:rPr>
          <w:rFonts w:ascii="Calibri" w:hAnsi="Calibri"/>
          <w:b w:val="0"/>
          <w:i w:val="0"/>
          <w:sz w:val="21"/>
        </w:rPr>
        <w:t>Dear Dr Jadhav,</w:t>
      </w:r>
    </w:p>
    <w:p>
      <w:pPr>
        <w:spacing w:before="0" w:after="80" w:line="252" w:lineRule="auto"/>
      </w:pPr>
      <w:r>
        <w:rPr>
          <w:rFonts w:ascii="Calibri" w:hAnsi="Calibri"/>
          <w:b w:val="0"/>
          <w:i w:val="0"/>
          <w:sz w:val="21"/>
        </w:rPr>
        <w:t>Thank you for the opportunity to revise our manuscript, “An Accuracy and Calibration Benchmark of scGPT Pipelines and Matched Classical Models for Cell Type Annotation”. We appreciate the careful and constructive comments, which helped us strengthen the biological validation, comparator design, uncertainty analysis and interpretation of the study.</w:t>
      </w:r>
    </w:p>
    <w:p>
      <w:pPr>
        <w:spacing w:before="0" w:after="80" w:line="252" w:lineRule="auto"/>
      </w:pPr>
      <w:r>
        <w:rPr>
          <w:rFonts w:ascii="Calibri" w:hAnsi="Calibri"/>
          <w:b w:val="0"/>
          <w:i w:val="0"/>
          <w:sz w:val="21"/>
        </w:rPr>
        <w:t>We have responded to every comment individually in the accompanying point-by-point response and identified the exact manuscript line numbers for each change. We also provide a clean Word manuscript and a Word manuscript with Track Changes so the revisions can be reviewed directly.</w:t>
      </w:r>
    </w:p>
    <w:p>
      <w:pPr>
        <w:spacing w:before="0" w:after="80" w:line="252" w:lineRule="auto"/>
      </w:pPr>
      <w:r>
        <w:rPr>
          <w:rFonts w:ascii="Calibri" w:hAnsi="Calibri"/>
          <w:b w:val="0"/>
          <w:i w:val="0"/>
          <w:sz w:val="21"/>
        </w:rPr>
        <w:t>The revised analysis now uses donor-held-out evaluation for the three human atlases, representation-specific training-only tuning, fixed classifier-matched comparisons, donor-cluster uncertainty, a dimensionality-matched expression control, expanded calibration analyses and class-specific biological error analyses. The conclusions have been narrowed to the evaluated frozen-scGPT pipelines and no longer imply general superiority over scGPT fine-tuning, other checkpoints or other foundation models.</w:t>
      </w:r>
    </w:p>
    <w:p>
      <w:pPr>
        <w:spacing w:before="0" w:after="240" w:line="252" w:lineRule="auto"/>
      </w:pPr>
      <w:r>
        <w:rPr>
          <w:rFonts w:ascii="Calibri" w:hAnsi="Calibri"/>
          <w:b w:val="0"/>
          <w:i w:val="0"/>
          <w:sz w:val="21"/>
        </w:rPr>
        <w:t>We hope that the revised manuscript addresses the Editor’s and Reviewers’ concerns satisfactorily and is now suitable for publication in Scientific Reports. We would be happy to make any further changes that may be required.</w:t>
      </w:r>
    </w:p>
    <w:p>
      <w:pPr>
        <w:spacing w:before="0" w:after="40" w:line="252" w:lineRule="auto"/>
      </w:pPr>
      <w:r>
        <w:rPr>
          <w:rFonts w:ascii="Calibri" w:hAnsi="Calibri"/>
          <w:b w:val="0"/>
          <w:i w:val="0"/>
          <w:sz w:val="21"/>
        </w:rPr>
        <w:t>Sincerely,</w:t>
      </w:r>
    </w:p>
    <w:p>
      <w:pPr>
        <w:spacing w:before="0" w:after="0" w:line="252" w:lineRule="auto"/>
      </w:pPr>
      <w:r>
        <w:rPr>
          <w:rFonts w:ascii="Calibri" w:hAnsi="Calibri"/>
          <w:b w:val="0"/>
          <w:i w:val="0"/>
          <w:sz w:val="21"/>
        </w:rPr>
        <w:t>Alireza Khosravi and Arshia Khosravi</w:t>
      </w:r>
    </w:p>
    <w:p>
      <w:pPr>
        <w:spacing w:before="0" w:after="120" w:line="252" w:lineRule="auto"/>
      </w:pPr>
      <w:r>
        <w:rPr>
          <w:rFonts w:ascii="Calibri" w:hAnsi="Calibri"/>
          <w:b w:val="0"/>
          <w:i w:val="0"/>
          <w:sz w:val="21"/>
        </w:rPr>
        <w:t>on behalf of all authors</w:t>
      </w:r>
    </w:p>
    <w:p>
      <w:pPr>
        <w:spacing w:before="0" w:after="0" w:line="252" w:lineRule="auto"/>
      </w:pPr>
      <w:r>
        <w:rPr>
          <w:rFonts w:ascii="Calibri" w:hAnsi="Calibri"/>
          <w:b w:val="0"/>
          <w:i w:val="0"/>
          <w:sz w:val="19"/>
        </w:rPr>
        <w:t>¹Laboratory of Translational Oncology, Medical University of Gdańsk, Gdańsk, Poland</w:t>
      </w:r>
    </w:p>
    <w:p>
      <w:pPr>
        <w:spacing w:before="0" w:after="0" w:line="252" w:lineRule="auto"/>
      </w:pPr>
      <w:r>
        <w:rPr>
          <w:rFonts w:ascii="Calibri" w:hAnsi="Calibri"/>
          <w:b w:val="0"/>
          <w:i w:val="0"/>
          <w:sz w:val="19"/>
        </w:rPr>
        <w:t>²Centre of Biostatistics and Bioinformatics Analysis, Medical University of Gdańsk, Gdańsk, Poland</w:t>
      </w:r>
    </w:p>
    <w:p>
      <w:pPr>
        <w:spacing w:before="0" w:after="0" w:line="252" w:lineRule="auto"/>
      </w:pPr>
      <w:r>
        <w:rPr>
          <w:rFonts w:ascii="Calibri" w:hAnsi="Calibri"/>
          <w:b w:val="0"/>
          <w:i w:val="0"/>
          <w:sz w:val="19"/>
        </w:rPr>
        <w:t>³Scientific Circle of Artificial Intelligence in Medicine, Medical University of Gdańsk, Gdańsk, Poland</w:t>
      </w:r>
    </w:p>
    <w:sectPr w:rsidR="00FC693F" w:rsidRPr="0006063C" w:rsidSect="00034616">
      <w:footerReference w:type="default" r:id="rId9"/>
      <w:pgSz w:w="11909" w:h="16834"/>
      <w:pgMar w:top="1037"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Calibri" w:hAnsi="Calibri"/>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