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47753" w14:textId="77777777" w:rsidR="003D7800" w:rsidRDefault="003D7800" w:rsidP="00425989">
      <w:pPr>
        <w:jc w:val="center"/>
      </w:pPr>
    </w:p>
    <w:p w14:paraId="782D2E21" w14:textId="77777777" w:rsidR="00425989" w:rsidRDefault="00425989" w:rsidP="00425989">
      <w:pPr>
        <w:jc w:val="center"/>
      </w:pPr>
    </w:p>
    <w:p w14:paraId="1F92F88D" w14:textId="77777777" w:rsidR="00425989" w:rsidRDefault="00425989" w:rsidP="00425989">
      <w:pPr>
        <w:jc w:val="center"/>
      </w:pPr>
    </w:p>
    <w:p w14:paraId="535A332D" w14:textId="77777777" w:rsidR="00425989" w:rsidRDefault="00425989" w:rsidP="00425989">
      <w:pPr>
        <w:jc w:val="center"/>
      </w:pPr>
    </w:p>
    <w:p w14:paraId="713DFA78" w14:textId="77777777" w:rsidR="00425989" w:rsidRDefault="00425989" w:rsidP="00425989">
      <w:pPr>
        <w:jc w:val="center"/>
      </w:pPr>
    </w:p>
    <w:p w14:paraId="3C0189DD" w14:textId="77777777" w:rsidR="00425989" w:rsidRDefault="00425989" w:rsidP="00425989">
      <w:pPr>
        <w:jc w:val="center"/>
      </w:pPr>
    </w:p>
    <w:p w14:paraId="415EE3C9" w14:textId="77777777" w:rsidR="00425989" w:rsidRDefault="00425989" w:rsidP="00425989">
      <w:pPr>
        <w:jc w:val="center"/>
      </w:pPr>
    </w:p>
    <w:p w14:paraId="15B47EFF" w14:textId="77777777" w:rsidR="00425989" w:rsidRDefault="00425989" w:rsidP="00425989">
      <w:pPr>
        <w:jc w:val="center"/>
      </w:pPr>
    </w:p>
    <w:p w14:paraId="5C44F4F6" w14:textId="77777777" w:rsidR="00425989" w:rsidRDefault="00425989" w:rsidP="00425989">
      <w:pPr>
        <w:jc w:val="center"/>
      </w:pPr>
    </w:p>
    <w:p w14:paraId="43E08E90" w14:textId="77777777" w:rsidR="00425989" w:rsidRDefault="00425989" w:rsidP="00425989">
      <w:pPr>
        <w:jc w:val="center"/>
      </w:pPr>
    </w:p>
    <w:p w14:paraId="1A2D90E9" w14:textId="77777777" w:rsidR="00425989" w:rsidRDefault="00425989" w:rsidP="00425989">
      <w:pPr>
        <w:jc w:val="center"/>
      </w:pPr>
    </w:p>
    <w:p w14:paraId="5E6FD9A8" w14:textId="77777777" w:rsidR="00425989" w:rsidRDefault="00425989" w:rsidP="00425989"/>
    <w:p w14:paraId="3D9B03AA" w14:textId="754A1DF4" w:rsidR="00425989" w:rsidRDefault="00625A41" w:rsidP="00625A4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625A41">
        <w:rPr>
          <w:rFonts w:ascii="Segoe UI" w:hAnsi="Segoe UI" w:cs="Segoe UI"/>
          <w:b/>
          <w:bCs/>
          <w:sz w:val="40"/>
          <w:szCs w:val="40"/>
        </w:rPr>
        <w:t>Tender Management API Backend – Technical Specification and Development Guide</w:t>
      </w:r>
    </w:p>
    <w:p w14:paraId="4E82027F" w14:textId="77777777" w:rsidR="00625A41" w:rsidRDefault="00625A41" w:rsidP="00625A4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4E72BABA" w14:textId="77777777" w:rsidR="00625A41" w:rsidRDefault="00625A41" w:rsidP="00625A4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7DA9109A" w14:textId="601F0231" w:rsidR="00625A41" w:rsidRDefault="00625A41" w:rsidP="00625A41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Alireza Nobakht</w:t>
      </w:r>
    </w:p>
    <w:p w14:paraId="13E6A24A" w14:textId="77777777" w:rsidR="00625A41" w:rsidRDefault="00625A41" w:rsidP="00625A41">
      <w:pPr>
        <w:jc w:val="center"/>
        <w:rPr>
          <w:rFonts w:ascii="Segoe UI" w:hAnsi="Segoe UI" w:cs="Segoe UI"/>
          <w:b/>
          <w:bCs/>
        </w:rPr>
      </w:pPr>
    </w:p>
    <w:p w14:paraId="3D61BAFE" w14:textId="77777777" w:rsidR="00625A41" w:rsidRDefault="00625A41" w:rsidP="00625A41">
      <w:pPr>
        <w:jc w:val="center"/>
        <w:rPr>
          <w:rFonts w:ascii="Segoe UI" w:hAnsi="Segoe UI" w:cs="Segoe UI"/>
          <w:b/>
          <w:bCs/>
        </w:rPr>
      </w:pPr>
    </w:p>
    <w:p w14:paraId="289B7EBF" w14:textId="77777777" w:rsidR="00625A41" w:rsidRDefault="00625A41" w:rsidP="00625A41">
      <w:pPr>
        <w:jc w:val="center"/>
        <w:rPr>
          <w:rFonts w:ascii="Segoe UI" w:hAnsi="Segoe UI" w:cs="Segoe UI"/>
          <w:b/>
          <w:bCs/>
        </w:rPr>
      </w:pPr>
    </w:p>
    <w:p w14:paraId="4BEBA2C9" w14:textId="77777777" w:rsidR="00625A41" w:rsidRDefault="00625A41" w:rsidP="00625A41">
      <w:pPr>
        <w:jc w:val="center"/>
        <w:rPr>
          <w:rFonts w:ascii="Segoe UI" w:hAnsi="Segoe UI" w:cs="Segoe UI"/>
          <w:b/>
          <w:bCs/>
        </w:rPr>
      </w:pPr>
    </w:p>
    <w:p w14:paraId="4975A7C5" w14:textId="77777777" w:rsidR="00625A41" w:rsidRDefault="00625A41" w:rsidP="00625A41">
      <w:pPr>
        <w:jc w:val="center"/>
        <w:rPr>
          <w:rFonts w:ascii="Segoe UI" w:hAnsi="Segoe UI" w:cs="Segoe UI"/>
          <w:b/>
          <w:bCs/>
        </w:rPr>
      </w:pPr>
    </w:p>
    <w:p w14:paraId="64D05A43" w14:textId="77777777" w:rsidR="00625A41" w:rsidRDefault="00625A41" w:rsidP="00625A41">
      <w:pPr>
        <w:jc w:val="center"/>
        <w:rPr>
          <w:rFonts w:ascii="Segoe UI" w:hAnsi="Segoe UI" w:cs="Segoe UI"/>
          <w:b/>
          <w:bCs/>
        </w:rPr>
      </w:pPr>
    </w:p>
    <w:p w14:paraId="0DE933D1" w14:textId="77777777" w:rsidR="003C3CC0" w:rsidRPr="003C3CC0" w:rsidRDefault="003C3CC0" w:rsidP="003C3CC0">
      <w:pPr>
        <w:rPr>
          <w:rFonts w:ascii="Segoe UI" w:hAnsi="Segoe UI" w:cs="Segoe UI"/>
        </w:rPr>
      </w:pPr>
      <w:r w:rsidRPr="003C3CC0">
        <w:rPr>
          <w:rFonts w:ascii="Segoe UI" w:hAnsi="Segoe UI" w:cs="Segoe UI"/>
        </w:rPr>
        <w:lastRenderedPageBreak/>
        <w:t>This guide was written to help anyone working on the Tender Management API understand how it was built and why certain choices were made. It’s not just a technical manual — it’s meant to tell the story of how the system came together, step by step.</w:t>
      </w:r>
    </w:p>
    <w:p w14:paraId="46758DFA" w14:textId="77777777" w:rsidR="003C3CC0" w:rsidRPr="003C3CC0" w:rsidRDefault="003C3CC0" w:rsidP="003C3CC0">
      <w:pPr>
        <w:rPr>
          <w:rFonts w:ascii="Segoe UI" w:hAnsi="Segoe UI" w:cs="Segoe UI"/>
        </w:rPr>
      </w:pPr>
      <w:r w:rsidRPr="003C3CC0">
        <w:rPr>
          <w:rFonts w:ascii="Segoe UI" w:hAnsi="Segoe UI" w:cs="Segoe UI"/>
        </w:rPr>
        <w:t>Whether you're setting it up, adding a new feature, or just curious how things work under the hood, this guide should give you a clear and friendly path through the backend. It covers everything from the main ideas behind the design to the smaller details that keep things running smoothly.</w:t>
      </w:r>
    </w:p>
    <w:p w14:paraId="2595FD87" w14:textId="77777777" w:rsidR="00625A41" w:rsidRPr="00625A41" w:rsidRDefault="00625A41" w:rsidP="00625A41">
      <w:pPr>
        <w:rPr>
          <w:rFonts w:ascii="Segoe UI" w:hAnsi="Segoe UI" w:cs="Segoe UI"/>
          <w:b/>
          <w:bCs/>
        </w:rPr>
      </w:pPr>
    </w:p>
    <w:sectPr w:rsidR="00625A41" w:rsidRPr="00625A41" w:rsidSect="0042598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89"/>
    <w:rsid w:val="003C3CC0"/>
    <w:rsid w:val="003D7800"/>
    <w:rsid w:val="00425989"/>
    <w:rsid w:val="005E2EAD"/>
    <w:rsid w:val="00625A41"/>
    <w:rsid w:val="00652939"/>
    <w:rsid w:val="00F7039B"/>
    <w:rsid w:val="00F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B10F"/>
  <w15:chartTrackingRefBased/>
  <w15:docId w15:val="{C4E0B4CC-B488-4ADB-B97A-699B1C43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nobakht</dc:creator>
  <cp:keywords/>
  <dc:description/>
  <cp:lastModifiedBy>alireza nobakht</cp:lastModifiedBy>
  <cp:revision>4</cp:revision>
  <dcterms:created xsi:type="dcterms:W3CDTF">2025-07-10T08:23:00Z</dcterms:created>
  <dcterms:modified xsi:type="dcterms:W3CDTF">2025-07-10T08:40:00Z</dcterms:modified>
</cp:coreProperties>
</file>