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3335C"/>
        </w:rPr>
        <w:t>Math &amp; Statistics Q&amp;A — Session Notes</w:t>
      </w:r>
    </w:p>
    <w:p>
      <w:r>
        <w:t>Generated 2026-06-16</w:t>
      </w:r>
    </w:p>
    <w:p>
      <w:pPr>
        <w:pStyle w:val="Heading2"/>
      </w:pPr>
      <w:r>
        <w:t>Q1. Explain the Lagrange interpolation with an example</w:t>
      </w:r>
    </w:p>
    <w:p>
      <w:pPr>
        <w:pStyle w:val="Heading3"/>
      </w:pPr>
      <w:r>
        <w:t>Intuition</w:t>
      </w:r>
    </w:p>
    <w:p>
      <w:r>
        <w:t xml:space="preserve">Lagrange interpolation builds a function that passes exactly through a prescribed set of data points (called nodes) by constructing special "cardinal" basis functions. Each basis function </w:t>
      </w:r>
      <w:r>
        <w:drawing>
          <wp:inline xmlns:a="http://schemas.openxmlformats.org/drawingml/2006/main" xmlns:pic="http://schemas.openxmlformats.org/drawingml/2006/picture">
            <wp:extent cx="133350" cy="15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equals 1 at node </w:t>
      </w:r>
      <w:r>
        <w:drawing>
          <wp:inline xmlns:a="http://schemas.openxmlformats.org/drawingml/2006/main" xmlns:pic="http://schemas.openxmlformats.org/drawingml/2006/picture">
            <wp:extent cx="133350" cy="15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and 0 at every other node — this cardinal property guarantees the interpolant reproduces the given data values exactly.</w:t>
      </w:r>
    </w:p>
    <w:p>
      <w:pPr>
        <w:pStyle w:val="Heading3"/>
      </w:pPr>
      <w:r>
        <w:t>Technical details</w:t>
      </w:r>
    </w:p>
    <w:p>
      <w:r>
        <w:t xml:space="preserve">Given nodes </w:t>
      </w:r>
      <w:r>
        <w:drawing>
          <wp:inline xmlns:a="http://schemas.openxmlformats.org/drawingml/2006/main" xmlns:pic="http://schemas.openxmlformats.org/drawingml/2006/picture">
            <wp:extent cx="654844" cy="15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4844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in </w:t>
      </w:r>
      <w:r>
        <w:drawing>
          <wp:inline xmlns:a="http://schemas.openxmlformats.org/drawingml/2006/main" xmlns:pic="http://schemas.openxmlformats.org/drawingml/2006/picture">
            <wp:extent cx="121444" cy="152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1444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, the classical Lagrange basis polynomials </w:t>
      </w:r>
      <w:r>
        <w:drawing>
          <wp:inline xmlns:a="http://schemas.openxmlformats.org/drawingml/2006/main" xmlns:pic="http://schemas.openxmlformats.org/drawingml/2006/picture">
            <wp:extent cx="692944" cy="152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2944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are defined by: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5358" cy="2926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358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These satisfy </w:t>
      </w:r>
      <w:r>
        <w:drawing>
          <wp:inline xmlns:a="http://schemas.openxmlformats.org/drawingml/2006/main" xmlns:pic="http://schemas.openxmlformats.org/drawingml/2006/picture">
            <wp:extent cx="510988" cy="152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988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. The interpolating polynomial to a function </w:t>
      </w:r>
      <w:r>
        <w:drawing>
          <wp:inline xmlns:a="http://schemas.openxmlformats.org/drawingml/2006/main" xmlns:pic="http://schemas.openxmlformats.org/drawingml/2006/picture">
            <wp:extent cx="85725" cy="152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is then: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4702" cy="2926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702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This paradigm generalizes broadly: replace </w:t>
      </w:r>
      <w:r>
        <w:drawing>
          <wp:inline xmlns:a="http://schemas.openxmlformats.org/drawingml/2006/main" xmlns:pic="http://schemas.openxmlformats.org/drawingml/2006/picture">
            <wp:extent cx="121444" cy="152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1444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with any set </w:t>
      </w:r>
      <w:r>
        <w:drawing>
          <wp:inline xmlns:a="http://schemas.openxmlformats.org/drawingml/2006/main" xmlns:pic="http://schemas.openxmlformats.org/drawingml/2006/picture">
            <wp:extent cx="121444" cy="152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1444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and introduce a function </w:t>
      </w:r>
      <w:r>
        <w:drawing>
          <wp:inline xmlns:a="http://schemas.openxmlformats.org/drawingml/2006/main" xmlns:pic="http://schemas.openxmlformats.org/drawingml/2006/picture">
            <wp:extent cx="673894" cy="152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3894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satisfying </w:t>
      </w:r>
      <w:r>
        <w:t>\phi(x,y) = 0 \iff x = y</w:t>
      </w:r>
      <w:r>
        <w:t xml:space="preserve">. Then define </w:t>
      </w:r>
      <w:r>
        <w:drawing>
          <wp:inline xmlns:a="http://schemas.openxmlformats.org/drawingml/2006/main" xmlns:pic="http://schemas.openxmlformats.org/drawingml/2006/picture">
            <wp:extent cx="493672" cy="152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672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and </w:t>
      </w:r>
      <w:r>
        <w:drawing>
          <wp:inline xmlns:a="http://schemas.openxmlformats.org/drawingml/2006/main" xmlns:pic="http://schemas.openxmlformats.org/drawingml/2006/picture">
            <wp:extent cx="650081" cy="152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0081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, recovering the cardinal property. For example, if </w:t>
      </w:r>
      <w:r>
        <w:drawing>
          <wp:inline xmlns:a="http://schemas.openxmlformats.org/drawingml/2006/main" xmlns:pic="http://schemas.openxmlformats.org/drawingml/2006/picture">
            <wp:extent cx="360218" cy="152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218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and </w:t>
      </w:r>
      <w:r>
        <w:drawing>
          <wp:inline xmlns:a="http://schemas.openxmlformats.org/drawingml/2006/main" xmlns:pic="http://schemas.openxmlformats.org/drawingml/2006/picture">
            <wp:extent cx="807929" cy="152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07929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, then each </w:t>
      </w:r>
      <w:r>
        <w:drawing>
          <wp:inline xmlns:a="http://schemas.openxmlformats.org/drawingml/2006/main" xmlns:pic="http://schemas.openxmlformats.org/drawingml/2006/picture">
            <wp:extent cx="762000" cy="152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>.</w:t>
      </w:r>
    </w:p>
    <w:p>
      <w:pPr>
        <w:pStyle w:val="Heading3"/>
      </w:pPr>
      <w:r>
        <w:t>Applications &amp; further study</w:t>
      </w:r>
    </w:p>
    <w:p>
      <w:pPr>
        <w:pStyle w:val="ListBullet"/>
      </w:pPr>
      <w:r>
        <w:rPr>
          <w:b/>
        </w:rPr>
        <w:t>Shepard's method</w:t>
      </w:r>
      <w:r>
        <w:t xml:space="preserve"> is a notable variant: assuming </w:t>
      </w:r>
      <w:r>
        <w:drawing>
          <wp:inline xmlns:a="http://schemas.openxmlformats.org/drawingml/2006/main" xmlns:pic="http://schemas.openxmlformats.org/drawingml/2006/picture">
            <wp:extent cx="316706" cy="152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6706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, one sets </w:t>
      </w:r>
      <w:r>
        <w:drawing>
          <wp:inline xmlns:a="http://schemas.openxmlformats.org/drawingml/2006/main" xmlns:pic="http://schemas.openxmlformats.org/drawingml/2006/picture">
            <wp:extent cx="417384" cy="152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7384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and </w:t>
      </w:r>
      <w:r>
        <w:drawing>
          <wp:inline xmlns:a="http://schemas.openxmlformats.org/drawingml/2006/main" xmlns:pic="http://schemas.openxmlformats.org/drawingml/2006/picture">
            <wp:extent cx="457200" cy="152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, giving </w:t>
      </w:r>
      <w:r>
        <w:drawing>
          <wp:inline xmlns:a="http://schemas.openxmlformats.org/drawingml/2006/main" xmlns:pic="http://schemas.openxmlformats.org/drawingml/2006/picture">
            <wp:extent cx="528638" cy="152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8638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globally, though a drawback is that all derivatives of </w:t>
      </w:r>
      <w:r>
        <w:drawing>
          <wp:inline xmlns:a="http://schemas.openxmlformats.org/drawingml/2006/main" xmlns:pic="http://schemas.openxmlformats.org/drawingml/2006/picture">
            <wp:extent cx="133350" cy="152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vanish at the nodes.</w:t>
      </w:r>
    </w:p>
    <w:p>
      <w:pPr>
        <w:pStyle w:val="ListBullet"/>
      </w:pPr>
      <w:r>
        <w:t xml:space="preserve">This general framework connects naturally to multivariate interpolation using hyperplane intersections (as in </w:t>
      </w:r>
      <w:r>
        <w:drawing>
          <wp:inline xmlns:a="http://schemas.openxmlformats.org/drawingml/2006/main" xmlns:pic="http://schemas.openxmlformats.org/drawingml/2006/picture">
            <wp:extent cx="367145" cy="152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7145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>) and to spline interpolation (Exercise 7 in the text treats piecewise linear bases as a Lagrangian system).</w:t>
      </w:r>
    </w:p>
    <w:p>
      <w:pPr>
        <w:pStyle w:val="ListBullet"/>
      </w:pPr>
      <w:r>
        <w:t>Further study could explore Chapter 11 (interpolation by translates) and Chapters 12–16 on positive definite functions, which build on this same paradigm.</w:t>
      </w:r>
    </w:p>
    <w:p>
      <w:r>
        <w:rPr>
          <w:i/>
          <w:color w:val="5B6B7E"/>
          <w:sz w:val="18"/>
        </w:rPr>
        <w:t>Sources: A course in approximation theory Cheney and Light.pdf p.14, 79, 80, 84, 86, 352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