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3335C"/>
        </w:rPr>
        <w:t>Math &amp; Statistics Q&amp;A — Session Notes</w:t>
      </w:r>
    </w:p>
    <w:p>
      <w:r>
        <w:t>Generated 2026-06-18</w:t>
      </w:r>
    </w:p>
    <w:p>
      <w:pPr>
        <w:pStyle w:val="Heading2"/>
      </w:pPr>
      <w:r>
        <w:t>Q1. explain chi-squared goodness of fit and how it is related/different from chi-squared test</w:t>
      </w:r>
    </w:p>
    <w:p>
      <w:pPr>
        <w:pStyle w:val="Heading3"/>
      </w:pPr>
      <w:r>
        <w:t>Intuition</w:t>
      </w:r>
    </w:p>
    <w:p>
      <w:r>
        <w:t xml:space="preserve">The chi-square goodness-of-fit test asks: *how well does a hypothesised distribution match what we actually observed?* We classify outcomes into </w:t>
      </w:r>
      <w:r>
        <w:drawing>
          <wp:inline xmlns:a="http://schemas.openxmlformats.org/drawingml/2006/main" xmlns:pic="http://schemas.openxmlformats.org/drawingml/2006/picture">
            <wp:extent cx="109538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categories, compare observed counts </w:t>
      </w:r>
      <w:r>
        <w:drawing>
          <wp:inline xmlns:a="http://schemas.openxmlformats.org/drawingml/2006/main" xmlns:pic="http://schemas.openxmlformats.org/drawingml/2006/picture">
            <wp:extent cx="154781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8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to expected counts </w:t>
      </w:r>
      <w:r>
        <w:drawing>
          <wp:inline xmlns:a="http://schemas.openxmlformats.org/drawingml/2006/main" xmlns:pic="http://schemas.openxmlformats.org/drawingml/2006/picture">
            <wp:extent cx="135731" cy="15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731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under the null hypothesis, and large discrepancies give evidence against that hypothesis. The smaller the resulting statistic, the more consistent the data are with the hypothesis.</w:t>
      </w:r>
    </w:p>
    <w:p>
      <w:pPr>
        <w:pStyle w:val="Heading3"/>
      </w:pPr>
      <w:r>
        <w:t>Technical details</w:t>
      </w:r>
    </w:p>
    <w:p>
      <w:r>
        <w:t>The goodness-of-fit statistic 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5881" cy="292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881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and it follows approximately a chi-square distribution with </w:t>
      </w:r>
      <w:r>
        <w:drawing>
          <wp:inline xmlns:a="http://schemas.openxmlformats.org/drawingml/2006/main" xmlns:pic="http://schemas.openxmlformats.org/drawingml/2006/picture">
            <wp:extent cx="540544" cy="15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degrees of freedom, where </w:t>
      </w:r>
      <w:r>
        <w:drawing>
          <wp:inline xmlns:a="http://schemas.openxmlformats.org/drawingml/2006/main" xmlns:pic="http://schemas.openxmlformats.org/drawingml/2006/picture">
            <wp:extent cx="152400" cy="15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the number of parameters estimated from the data. The approximation is reliable only when </w:t>
      </w:r>
      <w:r>
        <w:drawing>
          <wp:inline xmlns:a="http://schemas.openxmlformats.org/drawingml/2006/main" xmlns:pic="http://schemas.openxmlformats.org/drawingml/2006/picture">
            <wp:extent cx="335756" cy="15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756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for every category; otherwise categories should be merged. The acceptance region at significance level </w:t>
      </w:r>
      <w:r>
        <w:drawing>
          <wp:inline xmlns:a="http://schemas.openxmlformats.org/drawingml/2006/main" xmlns:pic="http://schemas.openxmlformats.org/drawingml/2006/picture">
            <wp:extent cx="119063" cy="15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06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</w:t>
      </w:r>
      <w:r>
        <w:t>A = \{\chi^2 : 0 \le \chi^2 \le \chi^2_{1-\alpha}(k-m-1)\}</w:t>
      </w:r>
      <w:r>
        <w:t>.</w:t>
      </w:r>
    </w:p>
    <w:p>
      <w:r>
        <w:t xml:space="preserve">The </w:t>
      </w:r>
      <w:r>
        <w:rPr>
          <w:b/>
        </w:rPr>
        <w:t>chi-square distribution itself</w:t>
      </w:r>
      <w:r>
        <w:t xml:space="preserve"> (used in both settings) arises separately: if </w:t>
      </w:r>
      <w:r>
        <w:drawing>
          <wp:inline xmlns:a="http://schemas.openxmlformats.org/drawingml/2006/main" xmlns:pic="http://schemas.openxmlformats.org/drawingml/2006/picture">
            <wp:extent cx="154517" cy="15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517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is the sample variance from a Normal population with variance </w:t>
      </w:r>
      <w:r>
        <w:drawing>
          <wp:inline xmlns:a="http://schemas.openxmlformats.org/drawingml/2006/main" xmlns:pic="http://schemas.openxmlformats.org/drawingml/2006/picture">
            <wp:extent cx="152400" cy="15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then </w:t>
      </w:r>
      <w:r>
        <w:drawing>
          <wp:inline xmlns:a="http://schemas.openxmlformats.org/drawingml/2006/main" xmlns:pic="http://schemas.openxmlformats.org/drawingml/2006/picture">
            <wp:extent cx="1128183" cy="152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8183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This distributional result underlies variance tests, whereas the goodness-of-fit test uses the *same family of distributions* but constructs the statistic from categorical counts. The </w:t>
      </w:r>
      <w:r>
        <w:rPr>
          <w:b/>
        </w:rPr>
        <w:t>contingency-table (independence) test</w:t>
      </w:r>
      <w:r>
        <w:t xml:space="preserve"> is a related use: its statistic has the same form but degrees of freedom </w:t>
      </w:r>
      <w:r>
        <w:drawing>
          <wp:inline xmlns:a="http://schemas.openxmlformats.org/drawingml/2006/main" xmlns:pic="http://schemas.openxmlformats.org/drawingml/2006/picture">
            <wp:extent cx="709612" cy="152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9612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for an </w:t>
      </w:r>
      <w:r>
        <w:drawing>
          <wp:inline xmlns:a="http://schemas.openxmlformats.org/drawingml/2006/main" xmlns:pic="http://schemas.openxmlformats.org/drawingml/2006/picture">
            <wp:extent cx="280988" cy="152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88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table, rather than </w:t>
      </w:r>
      <w:r>
        <w:drawing>
          <wp:inline xmlns:a="http://schemas.openxmlformats.org/drawingml/2006/main" xmlns:pic="http://schemas.openxmlformats.org/drawingml/2006/picture">
            <wp:extent cx="540544" cy="152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44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pPr>
        <w:pStyle w:val="Heading3"/>
      </w:pPr>
      <w:r>
        <w:t>Applications &amp; further study</w:t>
      </w:r>
    </w:p>
    <w:p>
      <w:pPr>
        <w:pStyle w:val="ListBullet"/>
      </w:pPr>
      <w:r>
        <w:t>The goodness-of-fit test applies whenever you want to check whether data follow a proposed model (e.g., testing whether a die is fair by rolling it 60 times and comparing face frequencies to the expected 10 each).</w:t>
      </w:r>
    </w:p>
    <w:p>
      <w:pPr>
        <w:pStyle w:val="ListBullet"/>
      </w:pPr>
      <w:r>
        <w:t xml:space="preserve">The context mentions that the chi-square framework extends naturally to </w:t>
      </w:r>
      <w:r>
        <w:rPr>
          <w:b/>
        </w:rPr>
        <w:t>contingency tables</w:t>
      </w:r>
      <w:r>
        <w:t xml:space="preserve"> (Section 5.3.2) for testing independence between two categorical variables, sharing the same statistic structure but a different degrees-of-freedom formula.</w:t>
      </w:r>
    </w:p>
    <w:p>
      <w:pPr>
        <w:pStyle w:val="ListBullet"/>
      </w:pPr>
      <w:r>
        <w:t>A gap in the provided context is a full derivation of *why* the sum of squared standardised counts converges to a chi-square distribution; that would require additional asymptotic theory beyond what is excerpted here.</w:t>
      </w:r>
    </w:p>
    <w:p>
      <w:r>
        <w:rPr>
          <w:i/>
          <w:color w:val="5B6B7E"/>
          <w:sz w:val="18"/>
        </w:rPr>
        <w:t>Sources: A First Course in Statistical Inference.pdf p.10, 36, 81, 89, 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