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3335C"/>
        </w:rPr>
        <w:t>Math &amp; Statistics Q&amp;A — Session Notes</w:t>
      </w:r>
    </w:p>
    <w:p>
      <w:r>
        <w:t>Generated 2026-06-19</w:t>
      </w:r>
    </w:p>
    <w:p>
      <w:pPr>
        <w:pStyle w:val="Heading2"/>
      </w:pPr>
      <w:r>
        <w:t>Q1. What is projection pursuit algorithm?</w:t>
      </w:r>
    </w:p>
    <w:p>
      <w:pPr>
        <w:pStyle w:val="Heading3"/>
      </w:pPr>
      <w:r>
        <w:t>Intuition</w:t>
      </w:r>
    </w:p>
    <w:p>
      <w:r>
        <w:t>Projection pursuit is a curve-fitting strategy that approximates a general function of many variables by a sum of simpler, univariate nonlinear functions, each applied to a linear combination of the original variables. Think of it as finding a small set of "interesting directions" in the data, much like finding principal components, but optimized for function approximation rather than variance alone.</w:t>
      </w:r>
    </w:p>
    <w:p>
      <w:pPr>
        <w:pStyle w:val="Heading3"/>
      </w:pPr>
      <w:r>
        <w:t>Technical details</w:t>
      </w:r>
    </w:p>
    <w:p>
      <w:r>
        <w:t>The core representation sought is: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12218" cy="2926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12218" cy="292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where the univariate functions </w:t>
      </w:r>
      <w:r>
        <w:drawing>
          <wp:inline xmlns:a="http://schemas.openxmlformats.org/drawingml/2006/main" xmlns:pic="http://schemas.openxmlformats.org/drawingml/2006/picture">
            <wp:extent cx="140494" cy="152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0494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and the direction vectors </w:t>
      </w:r>
      <w:r>
        <w:drawing>
          <wp:inline xmlns:a="http://schemas.openxmlformats.org/drawingml/2006/main" xmlns:pic="http://schemas.openxmlformats.org/drawingml/2006/picture">
            <wp:extent cx="618565" cy="152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565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are chosen to minimize approximation error. The greedy version of the algorithm proceeds stage by stage: at each step it finds the direction </w:t>
      </w:r>
      <w:r>
        <w:drawing>
          <wp:inline xmlns:a="http://schemas.openxmlformats.org/drawingml/2006/main" xmlns:pic="http://schemas.openxmlformats.org/drawingml/2006/picture">
            <wp:extent cx="316706" cy="152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6706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that minimizes </w:t>
      </w:r>
      <w:r>
        <w:drawing>
          <wp:inline xmlns:a="http://schemas.openxmlformats.org/drawingml/2006/main" xmlns:pic="http://schemas.openxmlformats.org/drawingml/2006/picture">
            <wp:extent cx="1610783" cy="152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10783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t>, i.e., the direction giving the maximum reduction in residual variance. This is analogous to choosing principal components of a covariance matrix—the selected directions have a well-defined interpretation in terms of variance reduction.</w:t>
      </w:r>
    </w:p>
    <w:p>
      <w:pPr>
        <w:pStyle w:val="Heading3"/>
      </w:pPr>
      <w:r>
        <w:t>Applications &amp; further study</w:t>
      </w:r>
    </w:p>
    <w:p>
      <w:pPr>
        <w:pStyle w:val="ListBullet"/>
      </w:pPr>
      <w:r>
        <w:t xml:space="preserve">The algorithm performs well in </w:t>
      </w:r>
      <w:r>
        <w:rPr>
          <w:b/>
        </w:rPr>
        <w:t>nonparametric regression</w:t>
      </w:r>
      <w:r>
        <w:t xml:space="preserve"> with noisy data, </w:t>
      </w:r>
      <w:r>
        <w:rPr>
          <w:b/>
        </w:rPr>
        <w:t>high-dimensional density estimation</w:t>
      </w:r>
      <w:r>
        <w:t xml:space="preserve">, and </w:t>
      </w:r>
      <w:r>
        <w:rPr>
          <w:b/>
        </w:rPr>
        <w:t>multidimensional spline approximation</w:t>
      </w:r>
      <w:r>
        <w:t>.</w:t>
      </w:r>
    </w:p>
    <w:p>
      <w:pPr>
        <w:pStyle w:val="ListBullet"/>
      </w:pPr>
      <w:r>
        <w:t xml:space="preserve">Key theoretical results (by Diaconis and Shahshahani) include necessary and sufficient conditions for exact equality in the representation, and results on non-uniqueness: if two representations share the same directions, their component functions differ only by polynomials of degree at most </w:t>
      </w:r>
      <w:r>
        <w:drawing>
          <wp:inline xmlns:a="http://schemas.openxmlformats.org/drawingml/2006/main" xmlns:pic="http://schemas.openxmlformats.org/drawingml/2006/picture">
            <wp:extent cx="311944" cy="152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1944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t>.</w:t>
      </w:r>
    </w:p>
    <w:p>
      <w:pPr>
        <w:pStyle w:val="ListBullet"/>
      </w:pPr>
      <w:r>
        <w:t xml:space="preserve">For deeper study, the context points to Friedman &amp; Stuetzle (1981), Friedman &amp; Tukey (1974), and Huber (1981) as foundational references; convergence of the greedy approximation in </w:t>
      </w:r>
      <w:r>
        <w:drawing>
          <wp:inline xmlns:a="http://schemas.openxmlformats.org/drawingml/2006/main" xmlns:pic="http://schemas.openxmlformats.org/drawingml/2006/picture">
            <wp:extent cx="146050" cy="152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for normally distributed inputs was proved by Donoho and Johnstone independently.</w:t>
      </w:r>
    </w:p>
    <w:p>
      <w:r>
        <w:rPr>
          <w:i/>
          <w:color w:val="5B6B7E"/>
          <w:sz w:val="18"/>
        </w:rPr>
        <w:t>Sources: ON NONLINEAR FUNCTIONS OF LINEAR COMBINATIONS DIACONIS SHAHSHAHANI.pdf p.1, 2, 4, 5, 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