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404C5" w14:textId="1157AD76" w:rsidR="001C0777" w:rsidRDefault="001C0777" w:rsidP="001C0777">
      <w:pPr>
        <w:rPr>
          <w:b/>
          <w:bCs/>
        </w:rPr>
      </w:pPr>
      <w:r>
        <w:rPr>
          <w:b/>
          <w:bCs/>
        </w:rPr>
        <w:t>Bank 1 Folder 5</w:t>
      </w:r>
    </w:p>
    <w:p w14:paraId="62094845" w14:textId="359A0DE6" w:rsidR="001C0777" w:rsidRPr="001C0777" w:rsidRDefault="001C0777" w:rsidP="001C0777">
      <w:r w:rsidRPr="001C0777">
        <w:rPr>
          <w:b/>
          <w:bCs/>
        </w:rPr>
        <w:t>PROJECT OVERVIEW</w:t>
      </w:r>
    </w:p>
    <w:p w14:paraId="19266E7D" w14:textId="77777777" w:rsidR="001C0777" w:rsidRPr="001C0777" w:rsidRDefault="001C0777" w:rsidP="001C0777">
      <w:r w:rsidRPr="001C0777">
        <w:t>This headquarters concept is designed as a clear financial landmark within a central business district in Dubai, UAE. The building is shaped by a series of vertical concrete fins and full height glass panels that create a strong civic presence. A large entrance canopy marks the arrival point and guides visitors toward a double height lobby.</w:t>
      </w:r>
    </w:p>
    <w:p w14:paraId="726968B4" w14:textId="77777777" w:rsidR="001C0777" w:rsidRPr="001C0777" w:rsidRDefault="001C0777" w:rsidP="001C0777">
      <w:r w:rsidRPr="001C0777">
        <w:t>A golden perforated volume is placed above the entrance and becomes a distinct night feature. The interior layout supports public banking services on the lower levels and corporate offices above. The external plaza is designed as an open civic space with seating, lighting and a direct approach to the main steps.</w:t>
      </w:r>
    </w:p>
    <w:p w14:paraId="2674729B" w14:textId="18D4C519" w:rsidR="001C0777" w:rsidRPr="001C0777" w:rsidRDefault="001C0777" w:rsidP="001C0777">
      <w:r w:rsidRPr="001C0777">
        <w:t>The project introduces a modern institutional image that suits international finance groups and government backed developments seeking a clear, confident architectural identity in Dubai.</w:t>
      </w:r>
    </w:p>
    <w:p w14:paraId="5C5D663E" w14:textId="77777777" w:rsidR="001C0777" w:rsidRPr="001C0777" w:rsidRDefault="001C0777" w:rsidP="001C0777">
      <w:r w:rsidRPr="001C0777">
        <w:rPr>
          <w:b/>
          <w:bCs/>
        </w:rPr>
        <w:t>PROJECT DETAILS</w:t>
      </w:r>
    </w:p>
    <w:p w14:paraId="53FAB396" w14:textId="068F1ACC" w:rsidR="001C0777" w:rsidRPr="001C0777" w:rsidRDefault="001C0777" w:rsidP="001C0777">
      <w:r w:rsidRPr="001C0777">
        <w:t>Project Name: ING Bank Headquarters</w:t>
      </w:r>
      <w:r w:rsidRPr="001C0777">
        <w:br/>
        <w:t>Location: Dubai, UAE</w:t>
      </w:r>
      <w:r w:rsidRPr="001C0777">
        <w:br/>
        <w:t>Type: Corporate Headquarters and Flagship Banking Branch</w:t>
      </w:r>
      <w:r w:rsidRPr="001C0777">
        <w:br/>
        <w:t>Plot Size: Approximately 7,000 to 9,000 sqm</w:t>
      </w:r>
      <w:r w:rsidRPr="001C0777">
        <w:br/>
        <w:t>Built Up Area: Approximately 16,000 to 20,000 sqm</w:t>
      </w:r>
      <w:r w:rsidRPr="001C0777">
        <w:br/>
        <w:t>Scope: Architecture, Interior Planning, Landscape and Visualization</w:t>
      </w:r>
    </w:p>
    <w:p w14:paraId="4BBD3703" w14:textId="645F360D" w:rsidR="001C0777" w:rsidRPr="001C0777" w:rsidRDefault="001C0777" w:rsidP="001C0777">
      <w:r w:rsidRPr="001C0777">
        <w:rPr>
          <w:b/>
          <w:bCs/>
        </w:rPr>
        <w:t>CLIENT</w:t>
      </w:r>
      <w:r w:rsidRPr="001C0777">
        <w:br/>
        <w:t>Confidential</w:t>
      </w:r>
    </w:p>
    <w:p w14:paraId="1A55C8B0" w14:textId="590275F7" w:rsidR="001C0777" w:rsidRPr="001C0777" w:rsidRDefault="001C0777" w:rsidP="001C0777">
      <w:r w:rsidRPr="001C0777">
        <w:rPr>
          <w:b/>
          <w:bCs/>
        </w:rPr>
        <w:t>BUDGET RANGE</w:t>
      </w:r>
      <w:r w:rsidRPr="001C0777">
        <w:br/>
        <w:t>USD 48,000,000 to USD 62,000,000</w:t>
      </w:r>
    </w:p>
    <w:p w14:paraId="00BAD0D2" w14:textId="2D691E3D" w:rsidR="001C0777" w:rsidRPr="001C0777" w:rsidRDefault="001C0777" w:rsidP="001C0777">
      <w:r w:rsidRPr="001C0777">
        <w:rPr>
          <w:b/>
          <w:bCs/>
        </w:rPr>
        <w:t>PROJECT TIMELINE</w:t>
      </w:r>
      <w:r w:rsidRPr="001C0777">
        <w:br/>
        <w:t>Construction Duration: 22 to 26 months</w:t>
      </w:r>
    </w:p>
    <w:p w14:paraId="354E3177" w14:textId="01105E3A" w:rsidR="001C0777" w:rsidRPr="001C0777" w:rsidRDefault="001C0777" w:rsidP="001C0777">
      <w:r w:rsidRPr="001C0777">
        <w:rPr>
          <w:b/>
          <w:bCs/>
        </w:rPr>
        <w:t>STATUS</w:t>
      </w:r>
      <w:r w:rsidRPr="001C0777">
        <w:br/>
        <w:t>In Design</w:t>
      </w:r>
    </w:p>
    <w:p w14:paraId="13CC7824" w14:textId="77777777" w:rsidR="001C0777" w:rsidRPr="001C0777" w:rsidRDefault="001C0777" w:rsidP="001C0777">
      <w:r w:rsidRPr="001C0777">
        <w:rPr>
          <w:b/>
          <w:bCs/>
        </w:rPr>
        <w:t>SERVICES PROVIDED</w:t>
      </w:r>
    </w:p>
    <w:p w14:paraId="26F889C0" w14:textId="3330B863" w:rsidR="001C0777" w:rsidRPr="001C0777" w:rsidRDefault="001C0777" w:rsidP="001C0777">
      <w:r w:rsidRPr="001C0777">
        <w:t>Architecture concept development</w:t>
      </w:r>
      <w:r w:rsidRPr="001C0777">
        <w:br/>
      </w:r>
      <w:r w:rsidRPr="001C0777">
        <w:t>Public Plaza</w:t>
      </w:r>
      <w:r w:rsidRPr="001C0777">
        <w:t xml:space="preserve"> and approach design</w:t>
      </w:r>
      <w:r w:rsidRPr="001C0777">
        <w:br/>
        <w:t>Façade strategy with concrete fins and glass panels</w:t>
      </w:r>
      <w:r w:rsidRPr="001C0777">
        <w:br/>
      </w:r>
      <w:r w:rsidRPr="001C0777">
        <w:lastRenderedPageBreak/>
        <w:t>Entrance canopy and lobby planning</w:t>
      </w:r>
      <w:r w:rsidRPr="001C0777">
        <w:br/>
        <w:t>Interior layout for banking floors and office areas</w:t>
      </w:r>
      <w:r w:rsidRPr="001C0777">
        <w:br/>
        <w:t>Security and circulation zoning</w:t>
      </w:r>
      <w:r w:rsidRPr="001C0777">
        <w:br/>
        <w:t>Landscape and lighting concept</w:t>
      </w:r>
      <w:r w:rsidRPr="001C0777">
        <w:br/>
        <w:t>Visualization and presentation package</w:t>
      </w:r>
    </w:p>
    <w:p w14:paraId="27C9454F" w14:textId="77777777" w:rsidR="001C0777" w:rsidRPr="001C0777" w:rsidRDefault="001C0777" w:rsidP="001C0777">
      <w:r w:rsidRPr="001C0777">
        <w:rPr>
          <w:b/>
          <w:bCs/>
        </w:rPr>
        <w:t>PROJECT TAGS</w:t>
      </w:r>
    </w:p>
    <w:p w14:paraId="6A0B5114" w14:textId="32B24C59" w:rsidR="001C0777" w:rsidRPr="001C0777" w:rsidRDefault="001C0777" w:rsidP="001C0777">
      <w:r w:rsidRPr="001C0777">
        <w:t>Dubai</w:t>
      </w:r>
      <w:r w:rsidRPr="001C0777">
        <w:br/>
        <w:t>Corporate Headquarters</w:t>
      </w:r>
      <w:r w:rsidRPr="001C0777">
        <w:br/>
        <w:t>Banking Facility</w:t>
      </w:r>
      <w:r w:rsidRPr="001C0777">
        <w:br/>
        <w:t>Institutional Building</w:t>
      </w:r>
      <w:r w:rsidRPr="001C0777">
        <w:br/>
        <w:t>Commercial Landmark</w:t>
      </w:r>
    </w:p>
    <w:p w14:paraId="4F325DEE" w14:textId="77777777" w:rsidR="001C0777" w:rsidRPr="001C0777" w:rsidRDefault="001C0777" w:rsidP="001C0777">
      <w:r w:rsidRPr="001C0777">
        <w:rPr>
          <w:b/>
          <w:bCs/>
        </w:rPr>
        <w:t>KEY FEATURES</w:t>
      </w:r>
    </w:p>
    <w:p w14:paraId="5A4A625B" w14:textId="77777777" w:rsidR="001C0777" w:rsidRPr="001C0777" w:rsidRDefault="001C0777" w:rsidP="001C0777">
      <w:r w:rsidRPr="001C0777">
        <w:t>Grand Entrance Canopy</w:t>
      </w:r>
      <w:r w:rsidRPr="001C0777">
        <w:br/>
        <w:t>Double Height Main Lobby</w:t>
      </w:r>
      <w:r w:rsidRPr="001C0777">
        <w:br/>
        <w:t>Public Banking Hall</w:t>
      </w:r>
      <w:r w:rsidRPr="001C0777">
        <w:br/>
        <w:t>Private Banking Suites</w:t>
      </w:r>
      <w:r w:rsidRPr="001C0777">
        <w:br/>
        <w:t>Executive Office Floor</w:t>
      </w:r>
      <w:r w:rsidRPr="001C0777">
        <w:br/>
        <w:t>Golden Feature Volume</w:t>
      </w:r>
      <w:r w:rsidRPr="001C0777">
        <w:br/>
        <w:t>Glass and Concrete Vertical Fins</w:t>
      </w:r>
      <w:r w:rsidRPr="001C0777">
        <w:br/>
        <w:t>Landscape Plaza with Seating</w:t>
      </w:r>
      <w:r w:rsidRPr="001C0777">
        <w:br/>
        <w:t>Integrated Night Lighting</w:t>
      </w:r>
      <w:r w:rsidRPr="001C0777">
        <w:br/>
        <w:t>Basement Parking and Secure Access</w:t>
      </w:r>
    </w:p>
    <w:p w14:paraId="67BAF617" w14:textId="77777777" w:rsidR="00352070" w:rsidRDefault="00352070"/>
    <w:sectPr w:rsidR="003520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777"/>
    <w:rsid w:val="001C0777"/>
    <w:rsid w:val="0022576F"/>
    <w:rsid w:val="00235943"/>
    <w:rsid w:val="00352070"/>
    <w:rsid w:val="00832CBB"/>
    <w:rsid w:val="00C85497"/>
    <w:rsid w:val="00CE2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650DE"/>
  <w15:chartTrackingRefBased/>
  <w15:docId w15:val="{1135D3CE-C679-4C34-BEEF-E9D81AB02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0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0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0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0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777"/>
    <w:rPr>
      <w:rFonts w:eastAsiaTheme="majorEastAsia" w:cstheme="majorBidi"/>
      <w:color w:val="272727" w:themeColor="text1" w:themeTint="D8"/>
    </w:rPr>
  </w:style>
  <w:style w:type="paragraph" w:styleId="Title">
    <w:name w:val="Title"/>
    <w:basedOn w:val="Normal"/>
    <w:next w:val="Normal"/>
    <w:link w:val="TitleChar"/>
    <w:uiPriority w:val="10"/>
    <w:qFormat/>
    <w:rsid w:val="001C0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777"/>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1C0777"/>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1C0777"/>
    <w:pPr>
      <w:spacing w:before="160"/>
      <w:jc w:val="center"/>
    </w:pPr>
    <w:rPr>
      <w:i/>
      <w:iCs/>
      <w:color w:val="000000" w:themeColor="text1"/>
    </w:rPr>
  </w:style>
  <w:style w:type="character" w:customStyle="1" w:styleId="QuoteChar">
    <w:name w:val="Quote Char"/>
    <w:basedOn w:val="DefaultParagraphFont"/>
    <w:link w:val="Quote"/>
    <w:uiPriority w:val="29"/>
    <w:rsid w:val="001C0777"/>
    <w:rPr>
      <w:i/>
      <w:iCs/>
      <w:color w:val="000000" w:themeColor="text1"/>
    </w:rPr>
  </w:style>
  <w:style w:type="paragraph" w:styleId="ListParagraph">
    <w:name w:val="List Paragraph"/>
    <w:basedOn w:val="Normal"/>
    <w:uiPriority w:val="34"/>
    <w:qFormat/>
    <w:rsid w:val="001C0777"/>
    <w:pPr>
      <w:ind w:left="720"/>
      <w:contextualSpacing/>
    </w:pPr>
  </w:style>
  <w:style w:type="character" w:styleId="IntenseEmphasis">
    <w:name w:val="Intense Emphasis"/>
    <w:basedOn w:val="DefaultParagraphFont"/>
    <w:uiPriority w:val="21"/>
    <w:qFormat/>
    <w:rsid w:val="001C0777"/>
    <w:rPr>
      <w:i/>
      <w:iCs/>
      <w:color w:val="0F4761" w:themeColor="accent1" w:themeShade="BF"/>
    </w:rPr>
  </w:style>
  <w:style w:type="paragraph" w:styleId="IntenseQuote">
    <w:name w:val="Intense Quote"/>
    <w:basedOn w:val="Normal"/>
    <w:next w:val="Normal"/>
    <w:link w:val="IntenseQuoteChar"/>
    <w:uiPriority w:val="30"/>
    <w:qFormat/>
    <w:rsid w:val="001C0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777"/>
    <w:rPr>
      <w:i/>
      <w:iCs/>
      <w:color w:val="0F4761" w:themeColor="accent1" w:themeShade="BF"/>
    </w:rPr>
  </w:style>
  <w:style w:type="character" w:styleId="IntenseReference">
    <w:name w:val="Intense Reference"/>
    <w:basedOn w:val="DefaultParagraphFont"/>
    <w:uiPriority w:val="32"/>
    <w:qFormat/>
    <w:rsid w:val="001C07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286</Words>
  <Characters>1721</Characters>
  <Application>Microsoft Office Word</Application>
  <DocSecurity>0</DocSecurity>
  <Lines>55</Lines>
  <Paragraphs>19</Paragraphs>
  <ScaleCrop>false</ScaleCrop>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Cihan Kayar</dc:creator>
  <cp:keywords/>
  <dc:description/>
  <cp:lastModifiedBy>Cihan Kayar</cp:lastModifiedBy>
  <cp:revision>1</cp:revision>
  <dcterms:created xsi:type="dcterms:W3CDTF">2025-12-05T10:30:00Z</dcterms:created>
  <dcterms:modified xsi:type="dcterms:W3CDTF">2025-12-05T10:30:00Z</dcterms:modified>
</cp:coreProperties>
</file>