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F3864"/>
          <w:sz w:val="44"/>
          <w:szCs w:val="44"/>
        </w:rPr>
        <w:t xml:space="preserve">Porting GPT-2 to DNN+NeuroSim V1.5</w:t>
      </w:r>
    </w:p>
    <w:p>
      <w:pPr>
        <w:spacing w:after="500"/>
        <w:jc w:val="center"/>
      </w:pPr>
      <w:r>
        <w:rPr>
          <w:color w:val="444444"/>
          <w:sz w:val="26"/>
          <w:szCs w:val="26"/>
        </w:rPr>
        <w:t xml:space="preserve">Record of all changes made to the upstream code base</w:t>
      </w:r>
    </w:p>
    <w:p>
      <w:pPr>
        <w:spacing w:after="120" w:line="276"/>
        <w:jc w:val="center"/>
      </w:pPr>
      <w:r>
        <w:rPr>
          <w:b/>
          <w:bCs/>
          <w:sz w:val="21"/>
          <w:szCs w:val="21"/>
        </w:rPr>
        <w:t xml:space="preserve">Ali Sahebdad and Mahdi Aghaei</w:t>
      </w:r>
    </w:p>
    <w:p>
      <w:pPr>
        <w:spacing w:after="120" w:line="276"/>
        <w:jc w:val="center"/>
      </w:pPr>
      <w:r>
        <w:rPr>
          <w:color w:val="666666"/>
          <w:sz w:val="21"/>
          <w:szCs w:val="21"/>
        </w:rPr>
        <w:t xml:space="preserve">15 August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80"/>
              <w:left w:type="dxa" w:w="110"/>
              <w:bottom w:type="dxa" w:w="80"/>
              <w:right w:type="dxa" w:w="110"/>
            </w:tcMar>
          </w:tcPr>
          <w:p>
            <w:pPr>
              <w:spacing w:after="0"/>
            </w:pPr>
            <w:r>
              <w:rPr>
                <w:b/>
                <w:bCs/>
                <w:color w:val="FFFFFF"/>
                <w:sz w:val="19"/>
                <w:szCs w:val="19"/>
              </w:rPr>
              <w:t xml:space="preserve">Item</w:t>
            </w:r>
          </w:p>
        </w:tc>
        <w:tc>
          <w:tcPr>
            <w:tcW w:type="dxa" w:w="6660"/>
            <w:shd w:fill="1F3864" w:val="clear"/>
            <w:tcMar>
              <w:top w:type="dxa" w:w="80"/>
              <w:left w:type="dxa" w:w="110"/>
              <w:bottom w:type="dxa" w:w="80"/>
              <w:right w:type="dxa" w:w="110"/>
            </w:tcMar>
          </w:tcPr>
          <w:p>
            <w:pPr>
              <w:spacing w:after="0"/>
            </w:pPr>
            <w:r>
              <w:rPr>
                <w:b/>
                <w:bCs/>
                <w:color w:val="FFFFFF"/>
                <w:sz w:val="19"/>
                <w:szCs w:val="19"/>
              </w:rPr>
              <w:t xml:space="preserve">Value</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Upstream repository</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github.com/neurosim/NeuroSim</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Upstream branch</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2DInferenceV1.5-dev</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Baseline commit</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9825ef40bf14d12a72c99d8e32ff8c499aeddf24</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Baseline date</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18 July 2026</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Fork</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github.com/alisahebdad/NeuroSim</w:t>
            </w:r>
          </w:p>
        </w:tc>
      </w:tr>
      <w:tr>
        <w:tc>
          <w:tcPr>
            <w:tcW w:type="dxa" w:w="2700"/>
            <w:shd w:fill="FFFFFF" w:val="clear"/>
            <w:tcMar>
              <w:top w:type="dxa" w:w="80"/>
              <w:left w:type="dxa" w:w="110"/>
              <w:bottom w:type="dxa" w:w="80"/>
              <w:right w:type="dxa" w:w="110"/>
            </w:tcMar>
          </w:tcPr>
          <w:p>
            <w:pPr>
              <w:spacing w:after="0"/>
            </w:pPr>
            <w:r>
              <w:rPr>
                <w:b w:val="false"/>
                <w:bCs w:val="false"/>
                <w:color w:val="000000"/>
                <w:sz w:val="19"/>
                <w:szCs w:val="19"/>
              </w:rPr>
              <w:t xml:space="preserve">Working branch</w:t>
            </w:r>
          </w:p>
        </w:tc>
        <w:tc>
          <w:tcPr>
            <w:tcW w:type="dxa" w:w="6660"/>
            <w:shd w:fill="FFFFFF" w:val="clear"/>
            <w:tcMar>
              <w:top w:type="dxa" w:w="80"/>
              <w:left w:type="dxa" w:w="110"/>
              <w:bottom w:type="dxa" w:w="80"/>
              <w:right w:type="dxa" w:w="110"/>
            </w:tcMar>
          </w:tcPr>
          <w:p>
            <w:pPr>
              <w:spacing w:after="0"/>
            </w:pPr>
            <w:r>
              <w:rPr>
                <w:b w:val="false"/>
                <w:bCs w:val="false"/>
                <w:color w:val="000000"/>
                <w:sz w:val="19"/>
                <w:szCs w:val="19"/>
              </w:rPr>
              <w:t xml:space="preserve">gpt2-port</w:t>
            </w:r>
          </w:p>
        </w:tc>
      </w:tr>
    </w:tbl>
    <w:p>
      <w:r>
        <w:br w:type="page"/>
      </w:r>
    </w:p>
    <w:p>
      <w:pPr>
        <w:pStyle w:val="Heading1"/>
        <w:spacing w:after="160" w:before="360"/>
      </w:pPr>
      <w:r>
        <w:rPr>
          <w:b/>
          <w:bCs/>
          <w:color w:val="1F3864"/>
          <w:sz w:val="30"/>
          <w:szCs w:val="30"/>
        </w:rPr>
        <w:t xml:space="preserve">1. Summary</w:t>
      </w:r>
    </w:p>
    <w:p>
      <w:pPr>
        <w:spacing w:after="120" w:line="276"/>
      </w:pPr>
      <w:r>
        <w:rPr>
          <w:sz w:val="21"/>
          <w:szCs w:val="21"/>
        </w:rPr>
        <w:t xml:space="preserve">This document records every difference between the upstream DNN+NeuroSim V1.5 code base and the GPT-2 port. It covers files added, files modified, defects identified in the upstream code, environment changes, results obtained, and work still outstanding.</w:t>
      </w:r>
    </w:p>
    <w:p>
      <w:pPr>
        <w:spacing w:after="120" w:line="276"/>
      </w:pPr>
      <w:r>
        <w:rPr>
          <w:b/>
          <w:bCs/>
          <w:sz w:val="21"/>
          <w:szCs w:val="21"/>
        </w:rPr>
        <w:t xml:space="preserve">The single most important property of this port is that it is purely additive.</w:t>
      </w:r>
    </w:p>
    <w:p>
      <w:pPr>
        <w:spacing w:after="120" w:line="276"/>
      </w:pPr>
      <w:r>
        <w:rPr>
          <w:sz w:val="21"/>
          <w:szCs w:val="21"/>
        </w:rPr>
        <w:t xml:space="preserve">No upstream Python or C++ source file has been modified. The GPT-2 support consists entirely of new files that use the existing framework through its public interfaces. Two upstream defects were found and are documented in Section 5, but both were worked around from the new code rather than patched in place. The practical consequence is that changes from upstream can still be merged without conflict.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F3864" w:val="clear"/>
            <w:tcMar>
              <w:top w:type="dxa" w:w="80"/>
              <w:left w:type="dxa" w:w="110"/>
              <w:bottom w:type="dxa" w:w="80"/>
              <w:right w:type="dxa" w:w="110"/>
            </w:tcMar>
          </w:tcPr>
          <w:p>
            <w:pPr>
              <w:spacing w:after="0"/>
            </w:pPr>
            <w:r>
              <w:rPr>
                <w:b/>
                <w:bCs/>
                <w:color w:val="FFFFFF"/>
                <w:sz w:val="19"/>
                <w:szCs w:val="19"/>
              </w:rPr>
              <w:t xml:space="preserve">Category</w:t>
            </w:r>
          </w:p>
        </w:tc>
        <w:tc>
          <w:tcPr>
            <w:tcW w:type="dxa" w:w="2400"/>
            <w:shd w:fill="1F3864" w:val="clear"/>
            <w:tcMar>
              <w:top w:type="dxa" w:w="80"/>
              <w:left w:type="dxa" w:w="110"/>
              <w:bottom w:type="dxa" w:w="80"/>
              <w:right w:type="dxa" w:w="110"/>
            </w:tcMar>
          </w:tcPr>
          <w:p>
            <w:pPr>
              <w:spacing w:after="0"/>
            </w:pPr>
            <w:r>
              <w:rPr>
                <w:b/>
                <w:bCs/>
                <w:color w:val="FFFFFF"/>
                <w:sz w:val="19"/>
                <w:szCs w:val="19"/>
              </w:rPr>
              <w:t xml:space="preserve">Files</w:t>
            </w:r>
          </w:p>
        </w:tc>
        <w:tc>
          <w:tcPr>
            <w:tcW w:type="dxa" w:w="2760"/>
            <w:shd w:fill="1F3864" w:val="clear"/>
            <w:tcMar>
              <w:top w:type="dxa" w:w="80"/>
              <w:left w:type="dxa" w:w="110"/>
              <w:bottom w:type="dxa" w:w="80"/>
              <w:right w:type="dxa" w:w="110"/>
            </w:tcMar>
          </w:tcPr>
          <w:p>
            <w:pPr>
              <w:spacing w:after="0"/>
            </w:pPr>
            <w:r>
              <w:rPr>
                <w:b/>
                <w:bCs/>
                <w:color w:val="FFFFFF"/>
                <w:sz w:val="19"/>
                <w:szCs w:val="19"/>
              </w:rPr>
              <w:t xml:space="preserve">Lines added</w:t>
            </w:r>
          </w:p>
        </w:tc>
      </w:tr>
      <w:tr>
        <w:tc>
          <w:tcPr>
            <w:tcW w:type="dxa" w:w="4200"/>
            <w:shd w:fill="FFFFFF" w:val="clear"/>
            <w:tcMar>
              <w:top w:type="dxa" w:w="80"/>
              <w:left w:type="dxa" w:w="110"/>
              <w:bottom w:type="dxa" w:w="80"/>
              <w:right w:type="dxa" w:w="110"/>
            </w:tcMar>
          </w:tcPr>
          <w:p>
            <w:pPr>
              <w:spacing w:after="0"/>
            </w:pPr>
            <w:r>
              <w:rPr>
                <w:b w:val="false"/>
                <w:bCs w:val="false"/>
                <w:color w:val="000000"/>
                <w:sz w:val="19"/>
                <w:szCs w:val="19"/>
              </w:rPr>
              <w:t xml:space="preserve">New source files (GPT-2 port)</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4</w:t>
            </w:r>
          </w:p>
        </w:tc>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1,432</w:t>
            </w:r>
          </w:p>
        </w:tc>
      </w:tr>
      <w:tr>
        <w:tc>
          <w:tcPr>
            <w:tcW w:type="dxa" w:w="4200"/>
            <w:shd w:fill="FFFFFF" w:val="clear"/>
            <w:tcMar>
              <w:top w:type="dxa" w:w="80"/>
              <w:left w:type="dxa" w:w="110"/>
              <w:bottom w:type="dxa" w:w="80"/>
              <w:right w:type="dxa" w:w="110"/>
            </w:tcMar>
          </w:tcPr>
          <w:p>
            <w:pPr>
              <w:spacing w:after="0"/>
            </w:pPr>
            <w:r>
              <w:rPr>
                <w:b w:val="false"/>
                <w:bCs w:val="false"/>
                <w:color w:val="000000"/>
                <w:sz w:val="19"/>
                <w:szCs w:val="19"/>
              </w:rPr>
              <w:t xml:space="preserve">New configuration and documentation</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3</w:t>
            </w:r>
          </w:p>
        </w:tc>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729</w:t>
            </w:r>
          </w:p>
        </w:tc>
      </w:tr>
      <w:tr>
        <w:tc>
          <w:tcPr>
            <w:tcW w:type="dxa" w:w="4200"/>
            <w:shd w:fill="FFFFFF" w:val="clear"/>
            <w:tcMar>
              <w:top w:type="dxa" w:w="80"/>
              <w:left w:type="dxa" w:w="110"/>
              <w:bottom w:type="dxa" w:w="80"/>
              <w:right w:type="dxa" w:w="110"/>
            </w:tcMar>
          </w:tcPr>
          <w:p>
            <w:pPr>
              <w:spacing w:after="0"/>
            </w:pPr>
            <w:r>
              <w:rPr>
                <w:b w:val="false"/>
                <w:bCs w:val="false"/>
                <w:color w:val="000000"/>
                <w:sz w:val="19"/>
                <w:szCs w:val="19"/>
              </w:rPr>
              <w:t xml:space="preserve">Generated data files</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1</w:t>
            </w:r>
          </w:p>
        </w:tc>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48</w:t>
            </w:r>
          </w:p>
        </w:tc>
      </w:tr>
      <w:tr>
        <w:tc>
          <w:tcPr>
            <w:tcW w:type="dxa" w:w="4200"/>
            <w:shd w:fill="FFFFFF" w:val="clear"/>
            <w:tcMar>
              <w:top w:type="dxa" w:w="80"/>
              <w:left w:type="dxa" w:w="110"/>
              <w:bottom w:type="dxa" w:w="80"/>
              <w:right w:type="dxa" w:w="110"/>
            </w:tcMar>
          </w:tcPr>
          <w:p>
            <w:pPr>
              <w:spacing w:after="0"/>
            </w:pPr>
            <w:r>
              <w:rPr>
                <w:b w:val="false"/>
                <w:bCs w:val="false"/>
                <w:color w:val="000000"/>
                <w:sz w:val="19"/>
                <w:szCs w:val="19"/>
              </w:rPr>
              <w:t xml:space="preserve">Upstream source modified</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0</w:t>
            </w:r>
          </w:p>
        </w:tc>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0</w:t>
            </w:r>
          </w:p>
        </w:tc>
      </w:tr>
      <w:tr>
        <w:tc>
          <w:tcPr>
            <w:tcW w:type="dxa" w:w="4200"/>
            <w:shd w:fill="FFFFFF" w:val="clear"/>
            <w:tcMar>
              <w:top w:type="dxa" w:w="80"/>
              <w:left w:type="dxa" w:w="110"/>
              <w:bottom w:type="dxa" w:w="80"/>
              <w:right w:type="dxa" w:w="110"/>
            </w:tcMar>
          </w:tcPr>
          <w:p>
            <w:pPr>
              <w:spacing w:after="0"/>
            </w:pPr>
            <w:r>
              <w:rPr>
                <w:b w:val="false"/>
                <w:bCs w:val="false"/>
                <w:color w:val="000000"/>
                <w:sz w:val="19"/>
                <w:szCs w:val="19"/>
              </w:rPr>
              <w:t xml:space="preserve">Unintended modifications (see Section 4)</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5</w:t>
            </w:r>
          </w:p>
        </w:tc>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n/a</w:t>
            </w:r>
          </w:p>
        </w:tc>
      </w:tr>
    </w:tbl>
    <w:p>
      <w:pPr>
        <w:pStyle w:val="Heading1"/>
        <w:spacing w:after="160" w:before="360"/>
      </w:pPr>
      <w:r>
        <w:rPr>
          <w:b/>
          <w:bCs/>
          <w:color w:val="1F3864"/>
          <w:sz w:val="30"/>
          <w:szCs w:val="30"/>
        </w:rPr>
        <w:t xml:space="preserve">2. Starting point: what NeuroSim V1.5 already provided</w:t>
      </w:r>
    </w:p>
    <w:p>
      <w:pPr>
        <w:spacing w:after="120" w:line="276"/>
      </w:pPr>
      <w:r>
        <w:rPr>
          <w:sz w:val="21"/>
          <w:szCs w:val="21"/>
        </w:rPr>
        <w:t xml:space="preserve">Understanding what did not need to be written is as important as understanding what did.</w:t>
      </w:r>
    </w:p>
    <w:p>
      <w:pPr>
        <w:pStyle w:val="Heading2"/>
        <w:spacing w:after="120" w:before="260"/>
      </w:pPr>
      <w:r>
        <w:rPr>
          <w:b/>
          <w:bCs/>
          <w:color w:val="1F3864"/>
          <w:sz w:val="24"/>
          <w:szCs w:val="24"/>
        </w:rPr>
        <w:t xml:space="preserve">2.1 NeuroSim has no concept of layer types</w:t>
      </w:r>
    </w:p>
    <w:p>
      <w:pPr>
        <w:spacing w:after="120" w:line="276"/>
      </w:pPr>
      <w:r>
        <w:rPr>
          <w:sz w:val="21"/>
          <w:szCs w:val="21"/>
        </w:rPr>
        <w:t xml:space="preserve">The C++ estimator reads the network description into a plain numeric structure (main.cpp, line 69):</w:t>
      </w:r>
    </w:p>
    <w:p>
      <w:pPr>
        <w:spacing w:after="100" w:before="60"/>
        <w:ind w:left="360"/>
      </w:pPr>
      <w:r>
        <w:rPr>
          <w:rFonts w:ascii="Courier New" w:cs="Courier New" w:eastAsia="Courier New" w:hAnsi="Courier New"/>
          <w:sz w:val="18"/>
          <w:szCs w:val="18"/>
        </w:rPr>
        <w:t xml:space="preserve">vector&lt;vector&lt;double&gt; &gt; netStructure;</w:t>
      </w:r>
    </w:p>
    <w:p>
      <w:pPr>
        <w:spacing w:after="120" w:line="276"/>
      </w:pPr>
      <w:r>
        <w:rPr>
          <w:sz w:val="21"/>
          <w:szCs w:val="21"/>
        </w:rPr>
        <w:t xml:space="preserve">Eight numbers per row. There is no layer type, no name, and no enumeration distinguishing a convolution from a fully connected layer. Searching the entire C++ source for softmax, layernorm, gelu, attention or transformer returns nothing. The only non-linearity in the hardware library is ReLU or Sigmoid, selected at Param.cpp line 96.</w:t>
      </w:r>
    </w:p>
    <w:p>
      <w:pPr>
        <w:spacing w:after="120" w:line="276"/>
      </w:pPr>
      <w:r>
        <w:rPr>
          <w:sz w:val="21"/>
          <w:szCs w:val="21"/>
        </w:rPr>
        <w:t xml:space="preserve">NeuroSim therefore does not support models. It supports matrix multiplications of a given shape. Every one of GPT-2’s 48 projection layers is a matrix multiplication, so they map without any C++ work at all.</w:t>
      </w:r>
    </w:p>
    <w:p>
      <w:pPr>
        <w:pStyle w:val="Heading2"/>
        <w:spacing w:after="120" w:before="260"/>
      </w:pPr>
      <w:r>
        <w:rPr>
          <w:b/>
          <w:bCs/>
          <w:color w:val="1F3864"/>
          <w:sz w:val="24"/>
          <w:szCs w:val="24"/>
        </w:rPr>
        <w:t xml:space="preserve">2.2 Two of GPT-2’s four layer shapes were already present</w:t>
      </w:r>
    </w:p>
    <w:p>
      <w:pPr>
        <w:spacing w:after="120" w:line="276"/>
      </w:pPr>
      <w:r>
        <w:rPr>
          <w:sz w:val="21"/>
          <w:szCs w:val="21"/>
        </w:rPr>
        <w:t xml:space="preserve">The shipped Swin Transformer network description, NetWork_swin_t.csv, contains these rows:</w:t>
      </w:r>
    </w:p>
    <w:p>
      <w:pPr>
        <w:spacing w:after="100" w:before="60"/>
        <w:ind w:left="360"/>
      </w:pPr>
      <w:r>
        <w:rPr>
          <w:rFonts w:ascii="Courier New" w:cs="Courier New" w:eastAsia="Courier New" w:hAnsi="Courier New"/>
          <w:sz w:val="18"/>
          <w:szCs w:val="18"/>
        </w:rPr>
        <w:t xml:space="preserve">7,7,768,1,1,3072,0,1        (768 -&gt; 3072)</w:t>
      </w:r>
    </w:p>
    <w:p>
      <w:pPr>
        <w:spacing w:after="100" w:before="60"/>
        <w:ind w:left="360"/>
      </w:pPr>
      <w:r>
        <w:rPr>
          <w:rFonts w:ascii="Courier New" w:cs="Courier New" w:eastAsia="Courier New" w:hAnsi="Courier New"/>
          <w:sz w:val="18"/>
          <w:szCs w:val="18"/>
        </w:rPr>
        <w:t xml:space="preserve">7,7,3072,1,1,768,0,1        (3072 -&gt; 768)</w:t>
      </w:r>
    </w:p>
    <w:p>
      <w:pPr>
        <w:spacing w:after="120" w:line="276"/>
      </w:pPr>
      <w:r>
        <w:rPr>
          <w:sz w:val="21"/>
          <w:szCs w:val="21"/>
        </w:rPr>
        <w:t xml:space="preserve">These are identical in shape to GPT-2’s mlp.c_fc and mlp.c_proj. Swin-V2-T’s stage 4 uses an embedding dimension of 768 with an MLP ratio of 4, producing the same 768 and 3072 dimensions as GPT-2. The remaining two shapes, 768 to 2304 (c_attn) and 768 to 768 (attention output projection), appear in no shipped file.</w:t>
      </w:r>
    </w:p>
    <w:p>
      <w:pPr>
        <w:pStyle w:val="Heading2"/>
        <w:spacing w:after="120" w:before="260"/>
      </w:pPr>
      <w:r>
        <w:rPr>
          <w:b/>
          <w:bCs/>
          <w:color w:val="1F3864"/>
          <w:sz w:val="24"/>
          <w:szCs w:val="24"/>
        </w:rPr>
        <w:t xml:space="preserve">2.3 Existing transformer support is partial</w:t>
      </w:r>
    </w:p>
    <w:p>
      <w:pPr>
        <w:spacing w:after="120" w:line="276"/>
      </w:pPr>
      <w:r>
        <w:rPr>
          <w:sz w:val="21"/>
          <w:szCs w:val="21"/>
        </w:rPr>
        <w:t xml:space="preserve">The upstream branch already advertises Swin Transformer support. Tabulating all 53 rows of NetWork_swin_t.csv against the known Swin-V2-T configuration accounts for every row: patch embedding, position-bias MLPs, feed-forward layers, patch merging and the classifier head. The QKV projections, the attention output projections and both attention matrix products are absent.</w:t>
      </w:r>
    </w:p>
    <w:p>
      <w:pPr>
        <w:spacing w:after="120" w:line="276"/>
      </w:pPr>
      <w:r>
        <w:rPr>
          <w:sz w:val="21"/>
          <w:szCs w:val="21"/>
        </w:rPr>
        <w:t xml:space="preserve">The likely explanation is the interception mechanism. Layer replacement operates by overriding Module.forward, so a computation expressed as a bare function call is invisible to it. TorchVision’s Swin implementation computes its QKV projection functionally rather than by calling the module, so the module exists in the tree but its forward is never invoked.</w:t>
      </w:r>
    </w:p>
    <w:p>
      <w:r>
        <w:br w:type="page"/>
      </w:r>
    </w:p>
    <w:p>
      <w:pPr>
        <w:pStyle w:val="Heading1"/>
        <w:spacing w:after="160" w:before="360"/>
      </w:pPr>
      <w:r>
        <w:rPr>
          <w:b/>
          <w:bCs/>
          <w:color w:val="1F3864"/>
          <w:sz w:val="30"/>
          <w:szCs w:val="30"/>
        </w:rPr>
        <w:t xml:space="preserve">3. Files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rPr>
          <w:tblHeader/>
        </w:trPr>
        <w:tc>
          <w:tcPr>
            <w:tcW w:type="dxa" w:w="2500"/>
            <w:shd w:fill="1F3864" w:val="clear"/>
            <w:tcMar>
              <w:top w:type="dxa" w:w="80"/>
              <w:left w:type="dxa" w:w="110"/>
              <w:bottom w:type="dxa" w:w="80"/>
              <w:right w:type="dxa" w:w="110"/>
            </w:tcMar>
          </w:tcPr>
          <w:p>
            <w:pPr>
              <w:spacing w:after="0"/>
            </w:pPr>
            <w:r>
              <w:rPr>
                <w:b/>
                <w:bCs/>
                <w:color w:val="FFFFFF"/>
                <w:sz w:val="19"/>
                <w:szCs w:val="19"/>
              </w:rPr>
              <w:t xml:space="preserve">File</w:t>
            </w:r>
          </w:p>
        </w:tc>
        <w:tc>
          <w:tcPr>
            <w:tcW w:type="dxa" w:w="900"/>
            <w:shd w:fill="1F3864" w:val="clear"/>
            <w:tcMar>
              <w:top w:type="dxa" w:w="80"/>
              <w:left w:type="dxa" w:w="110"/>
              <w:bottom w:type="dxa" w:w="80"/>
              <w:right w:type="dxa" w:w="110"/>
            </w:tcMar>
          </w:tcPr>
          <w:p>
            <w:pPr>
              <w:spacing w:after="0"/>
            </w:pPr>
            <w:r>
              <w:rPr>
                <w:b/>
                <w:bCs/>
                <w:color w:val="FFFFFF"/>
                <w:sz w:val="19"/>
                <w:szCs w:val="19"/>
              </w:rPr>
              <w:t xml:space="preserve">Lines</w:t>
            </w:r>
          </w:p>
        </w:tc>
        <w:tc>
          <w:tcPr>
            <w:tcW w:type="dxa" w:w="5960"/>
            <w:shd w:fill="1F3864" w:val="clear"/>
            <w:tcMar>
              <w:top w:type="dxa" w:w="80"/>
              <w:left w:type="dxa" w:w="110"/>
              <w:bottom w:type="dxa" w:w="80"/>
              <w:right w:type="dxa" w:w="110"/>
            </w:tcMar>
          </w:tcPr>
          <w:p>
            <w:pPr>
              <w:spacing w:after="0"/>
            </w:pPr>
            <w:r>
              <w:rPr>
                <w:b/>
                <w:bCs/>
                <w:color w:val="FFFFFF"/>
                <w:sz w:val="19"/>
                <w:szCs w:val="19"/>
              </w:rPr>
              <w:t xml:space="preserve">Purpose</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GPT2_Model.py</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446</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GPT-2 model definition with annotated CIM boundaries</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inference_gpt2.py</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715</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CIM simulation harness and C++ hand-off</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baseline_gpt2.py</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195</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Pure FP32 reference, independent of NeuroSim</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dataset_gpt2.py</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76</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WikiText-2 loader</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NeuroSIM/NetWork_gpt2.csv</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48</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Generated network description</w:t>
            </w:r>
          </w:p>
        </w:tc>
      </w:tr>
      <w:tr>
        <w:tc>
          <w:tcPr>
            <w:tcW w:type="dxa" w:w="2500"/>
            <w:shd w:fill="FFFFFF" w:val="clear"/>
            <w:tcMar>
              <w:top w:type="dxa" w:w="80"/>
              <w:left w:type="dxa" w:w="110"/>
              <w:bottom w:type="dxa" w:w="80"/>
              <w:right w:type="dxa" w:w="110"/>
            </w:tcMar>
          </w:tcPr>
          <w:p>
            <w:pPr>
              <w:spacing w:after="0"/>
            </w:pPr>
            <w:r>
              <w:rPr>
                <w:rFonts w:ascii="Courier New" w:cs="Courier New" w:eastAsia="Courier New" w:hAnsi="Courier New"/>
                <w:b w:val="false"/>
                <w:bCs w:val="false"/>
                <w:color w:val="000000"/>
                <w:sz w:val="19"/>
                <w:szCs w:val="19"/>
              </w:rPr>
              <w:t xml:space="preserve">requirements.txt</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86</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pip conversion of environment.yml</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.gitignore</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83</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Repository hygiene</w:t>
            </w:r>
          </w:p>
        </w:tc>
      </w:tr>
      <w:tr>
        <w:tc>
          <w:tcPr>
            <w:tcW w:type="dxa" w:w="2500"/>
            <w:shd w:fill="FFFFFF" w:val="clear"/>
            <w:tcMar>
              <w:top w:type="dxa" w:w="80"/>
              <w:left w:type="dxa" w:w="110"/>
              <w:bottom w:type="dxa" w:w="80"/>
              <w:right w:type="dxa" w:w="110"/>
            </w:tcMar>
          </w:tcPr>
          <w:p>
            <w:pPr>
              <w:spacing w:after="0"/>
            </w:pPr>
            <w:r>
              <w:rPr>
                <w:rFonts w:ascii="Courier New" w:cs="Courier New" w:eastAsia="Courier New" w:hAnsi="Courier New"/>
                <w:b w:val="false"/>
                <w:bCs w:val="false"/>
                <w:color w:val="000000"/>
                <w:sz w:val="19"/>
                <w:szCs w:val="19"/>
              </w:rPr>
              <w:t xml:space="preserve">report.md</w:t>
            </w:r>
          </w:p>
        </w:tc>
        <w:tc>
          <w:tcPr>
            <w:tcW w:type="dxa" w:w="900"/>
            <w:shd w:fill="FFFFFF" w:val="clear"/>
            <w:tcMar>
              <w:top w:type="dxa" w:w="80"/>
              <w:left w:type="dxa" w:w="110"/>
              <w:bottom w:type="dxa" w:w="80"/>
              <w:right w:type="dxa" w:w="110"/>
            </w:tcMar>
          </w:tcPr>
          <w:p>
            <w:pPr>
              <w:spacing w:after="0"/>
            </w:pPr>
            <w:r>
              <w:rPr>
                <w:b w:val="false"/>
                <w:bCs w:val="false"/>
                <w:color w:val="000000"/>
                <w:sz w:val="19"/>
                <w:szCs w:val="19"/>
              </w:rPr>
              <w:t xml:space="preserve">560</w:t>
            </w:r>
          </w:p>
        </w:tc>
        <w:tc>
          <w:tcPr>
            <w:tcW w:type="dxa" w:w="5960"/>
            <w:shd w:fill="FFFFFF" w:val="clear"/>
            <w:tcMar>
              <w:top w:type="dxa" w:w="80"/>
              <w:left w:type="dxa" w:w="110"/>
              <w:bottom w:type="dxa" w:w="80"/>
              <w:right w:type="dxa" w:w="110"/>
            </w:tcMar>
          </w:tcPr>
          <w:p>
            <w:pPr>
              <w:spacing w:after="0"/>
            </w:pPr>
            <w:r>
              <w:rPr>
                <w:b w:val="false"/>
                <w:bCs w:val="false"/>
                <w:color w:val="000000"/>
                <w:sz w:val="19"/>
                <w:szCs w:val="19"/>
              </w:rPr>
              <w:t xml:space="preserve">Working report</w:t>
            </w:r>
          </w:p>
        </w:tc>
      </w:tr>
    </w:tbl>
    <w:p>
      <w:pPr>
        <w:pStyle w:val="Heading2"/>
        <w:spacing w:after="120" w:before="260"/>
      </w:pPr>
      <w:r>
        <w:rPr>
          <w:b/>
          <w:bCs/>
          <w:color w:val="1F3864"/>
          <w:sz w:val="24"/>
          <w:szCs w:val="24"/>
        </w:rPr>
        <w:t xml:space="preserve">3.1 GPT2_Model.py</w:t>
      </w:r>
    </w:p>
    <w:p>
      <w:pPr>
        <w:spacing w:after="120" w:line="276"/>
      </w:pPr>
      <w:r>
        <w:rPr>
          <w:sz w:val="21"/>
          <w:szCs w:val="21"/>
        </w:rPr>
        <w:t xml:space="preserve">A decoder-only GPT-2 (124M parameters) written so that every projection is a genuine nn.Linear submodule invoked as a module call. This matters: the framework replaces torch.nn.Linear by monkey patching, and only intercepts computations that pass through Module.forward. Because the model calls self.c_attn(x) rather than a functional equivalent, all four projections per block are captured automatically.</w:t>
      </w:r>
    </w:p>
    <w:p>
      <w:pPr>
        <w:spacing w:after="120" w:line="276"/>
      </w:pPr>
      <w:r>
        <w:rPr>
          <w:sz w:val="21"/>
          <w:szCs w:val="21"/>
        </w:rPr>
        <w:t xml:space="preserve">Fourteen comments marked TODO(neurosim-c++) identify every operation that cannot cross to the C++ estimator, with the reason and the available options in each case:</w:t>
      </w:r>
    </w:p>
    <w:p>
      <w:pPr>
        <w:pStyle w:val="ListParagraph"/>
        <w:numPr>
          <w:ilvl w:val="0"/>
          <w:numId w:val="2"/>
        </w:numPr>
        <w:spacing w:after="80" w:line="276"/>
      </w:pPr>
      <w:r>
        <w:rPr>
          <w:sz w:val="21"/>
          <w:szCs w:val="21"/>
        </w:rPr>
        <w:t xml:space="preserve">The two attention matrix products, QK-transpose and softmax times V, multiply activation by activation. There is no static weight to program into a crossbar, and because they are bare tensor operations rather than modules they produce no network row and no trace file.</w:t>
      </w:r>
    </w:p>
    <w:p>
      <w:pPr>
        <w:pStyle w:val="ListParagraph"/>
        <w:numPr>
          <w:ilvl w:val="0"/>
          <w:numId w:val="2"/>
        </w:numPr>
        <w:spacing w:after="80" w:line="276"/>
      </w:pPr>
      <w:r>
        <w:rPr>
          <w:sz w:val="21"/>
          <w:szCs w:val="21"/>
        </w:rPr>
        <w:t xml:space="preserve">LayerNorm, GELU and softmax have no hardware model. NeuroSim’s peripheral circuit library covers ReLU and pooling only.</w:t>
      </w:r>
    </w:p>
    <w:p>
      <w:pPr>
        <w:pStyle w:val="ListParagraph"/>
        <w:numPr>
          <w:ilvl w:val="0"/>
          <w:numId w:val="2"/>
        </w:numPr>
        <w:spacing w:after="80" w:line="276"/>
      </w:pPr>
      <w:r>
        <w:rPr>
          <w:sz w:val="21"/>
          <w:szCs w:val="21"/>
        </w:rPr>
        <w:t xml:space="preserve">The token and position embeddings are table lookups, not multiply-accumulate operations, and cannot be expressed as a network row. Together they account for roughly 32 per cent of GPT-2’s parameters.</w:t>
      </w:r>
    </w:p>
    <w:p>
      <w:pPr>
        <w:pStyle w:val="ListParagraph"/>
        <w:numPr>
          <w:ilvl w:val="0"/>
          <w:numId w:val="2"/>
        </w:numPr>
        <w:spacing w:after="80" w:line="276"/>
      </w:pPr>
      <w:r>
        <w:rPr>
          <w:sz w:val="21"/>
          <w:szCs w:val="21"/>
        </w:rPr>
        <w:t xml:space="preserve">The language-model head shares its weight tensor with the token embedding. A crossbar cannot be shared between two layers, so this must be either counted twice or excluded explicitly.</w:t>
      </w:r>
    </w:p>
    <w:p>
      <w:pPr>
        <w:pStyle w:val="Heading2"/>
        <w:spacing w:after="120" w:before="260"/>
      </w:pPr>
      <w:r>
        <w:rPr>
          <w:b/>
          <w:bCs/>
          <w:color w:val="1F3864"/>
          <w:sz w:val="24"/>
          <w:szCs w:val="24"/>
        </w:rPr>
        <w:t xml:space="preserve">3.2 inference_gpt2.py</w:t>
      </w:r>
    </w:p>
    <w:p>
      <w:pPr>
        <w:spacing w:after="120" w:line="276"/>
      </w:pPr>
      <w:r>
        <w:rPr>
          <w:sz w:val="21"/>
          <w:szCs w:val="21"/>
        </w:rPr>
        <w:t xml:space="preserve">The harness. It mirrors the structure of the upstream inference.py but targets a language model. Its responsibilities:</w:t>
      </w:r>
    </w:p>
    <w:p>
      <w:pPr>
        <w:pStyle w:val="ListParagraph"/>
        <w:numPr>
          <w:ilvl w:val="0"/>
          <w:numId w:val="2"/>
        </w:numPr>
        <w:spacing w:after="80" w:line="276"/>
      </w:pPr>
      <w:r>
        <w:rPr>
          <w:sz w:val="21"/>
          <w:szCs w:val="21"/>
        </w:rPr>
        <w:t xml:space="preserve">Build the model after quant_modules.initialize() so that the monkey patch is in effect. Order is critical here; a model constructed before that call receives ordinary nn.Linear layers and nothing is simulated.</w:t>
      </w:r>
    </w:p>
    <w:p>
      <w:pPr>
        <w:pStyle w:val="ListParagraph"/>
        <w:numPr>
          <w:ilvl w:val="0"/>
          <w:numId w:val="2"/>
        </w:numPr>
        <w:spacing w:after="80" w:line="276"/>
      </w:pPr>
      <w:r>
        <w:rPr>
          <w:sz w:val="21"/>
          <w:szCs w:val="21"/>
        </w:rPr>
        <w:t xml:space="preserve">Generate NeuroSIM/NetWork_gpt2.csv explicitly, for the reason given in Section 5.1.</w:t>
      </w:r>
    </w:p>
    <w:p>
      <w:pPr>
        <w:pStyle w:val="ListParagraph"/>
        <w:numPr>
          <w:ilvl w:val="0"/>
          <w:numId w:val="2"/>
        </w:numPr>
        <w:spacing w:after="80" w:line="276"/>
      </w:pPr>
      <w:r>
        <w:rPr>
          <w:sz w:val="21"/>
          <w:szCs w:val="21"/>
        </w:rPr>
        <w:t xml:space="preserve">Evaluate in stages: FP32, weight-only INT8, input-only INT8, combined INT8, and full CIM. The ablation stages exist to attribute degradation rather than merely measure it.</w:t>
      </w:r>
    </w:p>
    <w:p>
      <w:pPr>
        <w:pStyle w:val="ListParagraph"/>
        <w:numPr>
          <w:ilvl w:val="0"/>
          <w:numId w:val="2"/>
        </w:numPr>
        <w:spacing w:after="80" w:line="276"/>
      </w:pPr>
      <w:r>
        <w:rPr>
          <w:sz w:val="21"/>
          <w:szCs w:val="21"/>
        </w:rPr>
        <w:t xml:space="preserve">Report per-layer activation outlier statistics measured on FP32 activations.</w:t>
      </w:r>
    </w:p>
    <w:p>
      <w:pPr>
        <w:pStyle w:val="ListParagraph"/>
        <w:numPr>
          <w:ilvl w:val="0"/>
          <w:numId w:val="2"/>
        </w:numPr>
        <w:spacing w:after="80" w:line="276"/>
      </w:pPr>
      <w:r>
        <w:rPr>
          <w:sz w:val="21"/>
          <w:szCs w:val="21"/>
        </w:rPr>
        <w:t xml:space="preserve">Invoke the C++ estimator, after verifying that the number of network rows equals the number of weight and input trace files. The estimator pairs them by position, so a mismatch would silently mis-associate every subsequent layer while still producing plausible output.</w:t>
      </w:r>
    </w:p>
    <w:p>
      <w:pPr>
        <w:pStyle w:val="Heading2"/>
        <w:spacing w:after="120" w:before="260"/>
      </w:pPr>
      <w:r>
        <w:rPr>
          <w:b/>
          <w:bCs/>
          <w:color w:val="1F3864"/>
          <w:sz w:val="24"/>
          <w:szCs w:val="24"/>
        </w:rPr>
        <w:t xml:space="preserve">3.3 baseline_gpt2.py</w:t>
      </w:r>
    </w:p>
    <w:p>
      <w:pPr>
        <w:spacing w:after="120" w:line="276"/>
      </w:pPr>
      <w:r>
        <w:rPr>
          <w:sz w:val="21"/>
          <w:szCs w:val="21"/>
        </w:rPr>
        <w:t xml:space="preserve">A deliberately independent reference. It does not import pytorch_quantization at all, so torch.nn.Linear is never patched and what runs is plain FP32 PyTorch. Its purpose is to answer one question before any CIM result is interpreted: are the weights loaded correctly and is the evaluation protocol sound?</w:t>
      </w:r>
    </w:p>
    <w:p>
      <w:pPr>
        <w:spacing w:after="120" w:line="276"/>
      </w:pPr>
      <w:r>
        <w:rPr>
          <w:sz w:val="21"/>
          <w:szCs w:val="21"/>
        </w:rPr>
        <w:t xml:space="preserve">This script was decisive in practice. An early run of the harness reported a supposed FP32 perplexity of 876 where roughly 30 was expected, and CIM appeared to outperform the baseline by a factor of three, which is physically impossible. The independent baseline returned 31.83, proving the model was correct and locating the fault in the harness.</w:t>
      </w:r>
    </w:p>
    <w:p>
      <w:pPr>
        <w:pStyle w:val="Heading2"/>
        <w:spacing w:after="120" w:before="260"/>
      </w:pPr>
      <w:r>
        <w:rPr>
          <w:b/>
          <w:bCs/>
          <w:color w:val="1F3864"/>
          <w:sz w:val="24"/>
          <w:szCs w:val="24"/>
        </w:rPr>
        <w:t xml:space="preserve">3.4 dataset_gpt2.py</w:t>
      </w:r>
    </w:p>
    <w:p>
      <w:pPr>
        <w:spacing w:after="120" w:line="276"/>
      </w:pPr>
      <w:r>
        <w:rPr>
          <w:sz w:val="21"/>
          <w:szCs w:val="21"/>
        </w:rPr>
        <w:t xml:space="preserve">The upstream dataset.py provides only image datasets. This module supplies WikiText-2, shaped so that the existing calibration helper in quantize.py works unmodified: each batch is a pair of tensors, matching the image-and-label unpacking that collect_stats performs. Perplexity is evaluated over non-overlapping windows.</w:t>
      </w:r>
    </w:p>
    <w:p>
      <w:r>
        <w:br w:type="page"/>
      </w:r>
    </w:p>
    <w:p>
      <w:pPr>
        <w:pStyle w:val="Heading1"/>
        <w:spacing w:after="160" w:before="360"/>
      </w:pPr>
      <w:r>
        <w:rPr>
          <w:b/>
          <w:bCs/>
          <w:color w:val="1F3864"/>
          <w:sz w:val="30"/>
          <w:szCs w:val="30"/>
        </w:rPr>
        <w:t xml:space="preserve">4. Unintended modifications</w:t>
      </w:r>
    </w:p>
    <w:p>
      <w:pPr>
        <w:spacing w:after="120" w:line="276"/>
      </w:pPr>
      <w:r>
        <w:rPr>
          <w:sz w:val="21"/>
          <w:szCs w:val="21"/>
        </w:rPr>
        <w:t xml:space="preserve">Five tracked files differ from upstream without that being intended. They are recorded here so they are not mistaken for deliberate changes.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1F3864" w:val="clear"/>
            <w:tcMar>
              <w:top w:type="dxa" w:w="80"/>
              <w:left w:type="dxa" w:w="110"/>
              <w:bottom w:type="dxa" w:w="80"/>
              <w:right w:type="dxa" w:w="110"/>
            </w:tcMar>
          </w:tcPr>
          <w:p>
            <w:pPr>
              <w:spacing w:after="0"/>
            </w:pPr>
            <w:r>
              <w:rPr>
                <w:b/>
                <w:bCs/>
                <w:color w:val="FFFFFF"/>
                <w:sz w:val="19"/>
                <w:szCs w:val="19"/>
              </w:rPr>
              <w:t xml:space="preserve">File</w:t>
            </w:r>
          </w:p>
        </w:tc>
        <w:tc>
          <w:tcPr>
            <w:tcW w:type="dxa" w:w="2500"/>
            <w:shd w:fill="1F3864" w:val="clear"/>
            <w:tcMar>
              <w:top w:type="dxa" w:w="80"/>
              <w:left w:type="dxa" w:w="110"/>
              <w:bottom w:type="dxa" w:w="80"/>
              <w:right w:type="dxa" w:w="110"/>
            </w:tcMar>
          </w:tcPr>
          <w:p>
            <w:pPr>
              <w:spacing w:after="0"/>
            </w:pPr>
            <w:r>
              <w:rPr>
                <w:b/>
                <w:bCs/>
                <w:color w:val="FFFFFF"/>
                <w:sz w:val="19"/>
                <w:szCs w:val="19"/>
              </w:rPr>
              <w:t xml:space="preserve">Change</w:t>
            </w:r>
          </w:p>
        </w:tc>
        <w:tc>
          <w:tcPr>
            <w:tcW w:type="dxa" w:w="4360"/>
            <w:shd w:fill="1F3864" w:val="clear"/>
            <w:tcMar>
              <w:top w:type="dxa" w:w="80"/>
              <w:left w:type="dxa" w:w="110"/>
              <w:bottom w:type="dxa" w:w="80"/>
              <w:right w:type="dxa" w:w="110"/>
            </w:tcMar>
          </w:tcPr>
          <w:p>
            <w:pPr>
              <w:spacing w:after="0"/>
            </w:pPr>
            <w:r>
              <w:rPr>
                <w:b/>
                <w:bCs/>
                <w:color w:val="FFFFFF"/>
                <w:sz w:val="19"/>
                <w:szCs w:val="19"/>
              </w:rPr>
              <w:t xml:space="preserve">Cause</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NetWork_ResNet18.csv</w:t>
            </w:r>
          </w:p>
        </w:tc>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Final row: 100 changed to 10</w:t>
            </w:r>
          </w:p>
        </w:tc>
        <w:tc>
          <w:tcPr>
            <w:tcW w:type="dxa" w:w="4360"/>
            <w:shd w:fill="FFFFFF" w:val="clear"/>
            <w:tcMar>
              <w:top w:type="dxa" w:w="80"/>
              <w:left w:type="dxa" w:w="110"/>
              <w:bottom w:type="dxa" w:w="80"/>
              <w:right w:type="dxa" w:w="110"/>
            </w:tcMar>
          </w:tcPr>
          <w:p>
            <w:pPr>
              <w:spacing w:after="0"/>
            </w:pPr>
            <w:r>
              <w:rPr>
                <w:b w:val="false"/>
                <w:bCs w:val="false"/>
                <w:color w:val="000000"/>
                <w:sz w:val="19"/>
                <w:szCs w:val="19"/>
              </w:rPr>
              <w:t xml:space="preserve">Overwritten at run time by the framework during a CIFAR-10 run</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NetWork_resnet18.csv</w:t>
            </w:r>
          </w:p>
        </w:tc>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Final row: 100 changed to 10</w:t>
            </w:r>
          </w:p>
        </w:tc>
        <w:tc>
          <w:tcPr>
            <w:tcW w:type="dxa" w:w="4360"/>
            <w:shd w:fill="FFFFFF" w:val="clear"/>
            <w:tcMar>
              <w:top w:type="dxa" w:w="80"/>
              <w:left w:type="dxa" w:w="110"/>
              <w:bottom w:type="dxa" w:w="80"/>
              <w:right w:type="dxa" w:w="110"/>
            </w:tcMar>
          </w:tcPr>
          <w:p>
            <w:pPr>
              <w:spacing w:after="0"/>
            </w:pPr>
            <w:r>
              <w:rPr>
                <w:b w:val="false"/>
                <w:bCs w:val="false"/>
                <w:color w:val="000000"/>
                <w:sz w:val="19"/>
                <w:szCs w:val="19"/>
              </w:rPr>
              <w:t xml:space="preserve">As above</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NeuroSIM/main</w:t>
            </w:r>
          </w:p>
        </w:tc>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Binary differs</w:t>
            </w:r>
          </w:p>
        </w:tc>
        <w:tc>
          <w:tcPr>
            <w:tcW w:type="dxa" w:w="4360"/>
            <w:shd w:fill="FFFFFF" w:val="clear"/>
            <w:tcMar>
              <w:top w:type="dxa" w:w="80"/>
              <w:left w:type="dxa" w:w="110"/>
              <w:bottom w:type="dxa" w:w="80"/>
              <w:right w:type="dxa" w:w="110"/>
            </w:tcMar>
          </w:tcPr>
          <w:p>
            <w:pPr>
              <w:spacing w:after="0"/>
            </w:pPr>
            <w:r>
              <w:rPr>
                <w:b w:val="false"/>
                <w:bCs w:val="false"/>
                <w:color w:val="000000"/>
                <w:sz w:val="19"/>
                <w:szCs w:val="19"/>
              </w:rPr>
              <w:t xml:space="preserve">Rebuilt by make; tracked upstream</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NeuroSIM/.depend</w:t>
            </w:r>
          </w:p>
        </w:tc>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Regenerated</w:t>
            </w:r>
          </w:p>
        </w:tc>
        <w:tc>
          <w:tcPr>
            <w:tcW w:type="dxa" w:w="4360"/>
            <w:shd w:fill="FFFFFF" w:val="clear"/>
            <w:tcMar>
              <w:top w:type="dxa" w:w="80"/>
              <w:left w:type="dxa" w:w="110"/>
              <w:bottom w:type="dxa" w:w="80"/>
              <w:right w:type="dxa" w:w="110"/>
            </w:tcMar>
          </w:tcPr>
          <w:p>
            <w:pPr>
              <w:spacing w:after="0"/>
            </w:pPr>
            <w:r>
              <w:rPr>
                <w:b w:val="false"/>
                <w:bCs w:val="false"/>
                <w:color w:val="000000"/>
                <w:sz w:val="19"/>
                <w:szCs w:val="19"/>
              </w:rPr>
              <w:t xml:space="preserve">Rebuilt by make; tracked upstream</w:t>
            </w:r>
          </w:p>
        </w:tc>
      </w:tr>
      <w:tr>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Documents/...V1.5.pdf</w:t>
            </w:r>
          </w:p>
        </w:tc>
        <w:tc>
          <w:tcPr>
            <w:tcW w:type="dxa" w:w="2500"/>
            <w:shd w:fill="FFFFFF" w:val="clear"/>
            <w:tcMar>
              <w:top w:type="dxa" w:w="80"/>
              <w:left w:type="dxa" w:w="110"/>
              <w:bottom w:type="dxa" w:w="80"/>
              <w:right w:type="dxa" w:w="110"/>
            </w:tcMar>
          </w:tcPr>
          <w:p>
            <w:pPr>
              <w:spacing w:after="0"/>
            </w:pPr>
            <w:r>
              <w:rPr>
                <w:b w:val="false"/>
                <w:bCs w:val="false"/>
                <w:color w:val="000000"/>
                <w:sz w:val="19"/>
                <w:szCs w:val="19"/>
              </w:rPr>
              <w:t xml:space="preserve">Binary differs</w:t>
            </w:r>
          </w:p>
        </w:tc>
        <w:tc>
          <w:tcPr>
            <w:tcW w:type="dxa" w:w="4360"/>
            <w:shd w:fill="FFFFFF" w:val="clear"/>
            <w:tcMar>
              <w:top w:type="dxa" w:w="80"/>
              <w:left w:type="dxa" w:w="110"/>
              <w:bottom w:type="dxa" w:w="80"/>
              <w:right w:type="dxa" w:w="110"/>
            </w:tcMar>
          </w:tcPr>
          <w:p>
            <w:pPr>
              <w:spacing w:after="0"/>
            </w:pPr>
            <w:r>
              <w:rPr>
                <w:b w:val="false"/>
                <w:bCs w:val="false"/>
                <w:color w:val="000000"/>
                <w:sz w:val="19"/>
                <w:szCs w:val="19"/>
              </w:rPr>
              <w:t xml:space="preserve">Opened and re-saved by a viewer</w:t>
            </w:r>
          </w:p>
        </w:tc>
      </w:tr>
    </w:tbl>
    <w:p>
      <w:pPr>
        <w:spacing w:after="160"/>
      </w:pPr>
    </w:p>
    <w:p>
      <w:pPr>
        <w:spacing w:after="120" w:line="276"/>
      </w:pPr>
      <w:r>
        <w:rPr>
          <w:sz w:val="21"/>
          <w:szCs w:val="21"/>
        </w:rPr>
        <w:t xml:space="preserve">The two ResNet-18 files are worth understanding rather than simply reverting. NeuroSim rewrites its own network description at run time: each quantized layer appends a row on its first forward pass. Running ResNet-18 on CIFAR-10 therefore overwrote the shipped CIFAR-100 description, changing the final layer’s output count from 100 classes to 10. The shipped files are outputs as much as inputs, which is easy to overlook.</w:t>
      </w:r>
    </w:p>
    <w:p>
      <w:pPr>
        <w:spacing w:after="120" w:line="276"/>
      </w:pPr>
      <w:r>
        <w:rPr>
          <w:sz w:val="21"/>
          <w:szCs w:val="21"/>
        </w:rPr>
        <w:t xml:space="preserve">Restore them with:</w:t>
      </w:r>
    </w:p>
    <w:p>
      <w:pPr>
        <w:spacing w:after="100" w:before="60"/>
        <w:ind w:left="360"/>
      </w:pPr>
      <w:r>
        <w:rPr>
          <w:rFonts w:ascii="Courier New" w:cs="Courier New" w:eastAsia="Courier New" w:hAnsi="Courier New"/>
          <w:sz w:val="18"/>
          <w:szCs w:val="18"/>
        </w:rPr>
        <w:t xml:space="preserve">git checkout upstream/2DInferenceV1.5-dev -- \</w:t>
      </w:r>
    </w:p>
    <w:p>
      <w:pPr>
        <w:spacing w:after="100" w:before="60"/>
        <w:ind w:left="360"/>
      </w:pPr>
      <w:r>
        <w:rPr>
          <w:rFonts w:ascii="Courier New" w:cs="Courier New" w:eastAsia="Courier New" w:hAnsi="Courier New"/>
          <w:sz w:val="18"/>
          <w:szCs w:val="18"/>
        </w:rPr>
        <w:t xml:space="preserve">  NeuroSIM/NetWork_ResNet18.csv NeuroSIM/NetWork_resnet18.csv</w:t>
      </w:r>
    </w:p>
    <w:p>
      <w:pPr>
        <w:spacing w:after="120" w:line="276"/>
      </w:pPr>
      <w:r>
        <w:rPr>
          <w:sz w:val="21"/>
          <w:szCs w:val="21"/>
        </w:rPr>
        <w:t xml:space="preserve">The compiled binary NeuroSIM/main and the generated NeuroSIM/.depend are tracked in the upstream repository. A .gitignore cannot affect files already in the index, so every rebuild shows the binary as modified. This is documented rather than resolved, because untracking them would diverge from upstream and risk a merge conflict.</w:t>
      </w:r>
    </w:p>
    <w:p>
      <w:pPr>
        <w:pStyle w:val="Heading1"/>
        <w:spacing w:after="160" w:before="360"/>
      </w:pPr>
      <w:r>
        <w:rPr>
          <w:b/>
          <w:bCs/>
          <w:color w:val="1F3864"/>
          <w:sz w:val="30"/>
          <w:szCs w:val="30"/>
        </w:rPr>
        <w:t xml:space="preserve">5. Defects identified in NeuroSim V1.5</w:t>
      </w:r>
    </w:p>
    <w:p>
      <w:pPr>
        <w:spacing w:after="120" w:line="276"/>
      </w:pPr>
      <w:r>
        <w:rPr>
          <w:sz w:val="21"/>
          <w:szCs w:val="21"/>
        </w:rPr>
        <w:t xml:space="preserve">Three defects were found. All were worked around from the new code; none were patched upstream.</w:t>
      </w:r>
    </w:p>
    <w:p>
      <w:pPr>
        <w:pStyle w:val="Heading2"/>
        <w:spacing w:after="120" w:before="260"/>
      </w:pPr>
      <w:r>
        <w:rPr>
          <w:b/>
          <w:bCs/>
          <w:color w:val="1F3864"/>
          <w:sz w:val="24"/>
          <w:szCs w:val="24"/>
        </w:rPr>
        <w:t xml:space="preserve">5.1 Network geometry is wrong for rank-3 input</w:t>
      </w:r>
    </w:p>
    <w:p>
      <w:pPr>
        <w:spacing w:after="120" w:line="276"/>
      </w:pPr>
      <w:r>
        <w:rPr>
          <w:sz w:val="21"/>
          <w:szCs w:val="21"/>
        </w:rPr>
        <w:t xml:space="preserve">In cim_linear.py at line 125, a layer whose input has rank greater than two emits its network row from the second and third dimensions of the input shape. This is correct for Swin, whose linear layers receive rank-4 input of the form batch, height, width, channels, so those two fields give the token grid.</w:t>
      </w:r>
    </w:p>
    <w:p>
      <w:pPr>
        <w:spacing w:after="120" w:line="276"/>
      </w:pPr>
      <w:r>
        <w:rPr>
          <w:sz w:val="21"/>
          <w:szCs w:val="21"/>
        </w:rPr>
        <w:t xml:space="preserve">GPT-2’s input is rank-3: batch, tokens, features. The same code therefore writes the token count in the first field and 768 in the second, describing a layer with 1024 multiplied by 768 tokens rather than 1024. This overstates the mapped workload by a factor of 768.</w:t>
      </w:r>
    </w:p>
    <w:p>
      <w:pPr>
        <w:spacing w:after="120" w:line="276"/>
      </w:pPr>
      <w:r>
        <w:rPr>
          <w:sz w:val="21"/>
          <w:szCs w:val="21"/>
        </w:rPr>
        <w:t xml:space="preserve">Worked around by disabling the automatic emission and generating the file explicitly, using a token count of T by 1. A permanent fix belongs upstream.</w:t>
      </w:r>
    </w:p>
    <w:p>
      <w:pPr>
        <w:pStyle w:val="Heading2"/>
        <w:spacing w:after="120" w:before="260"/>
      </w:pPr>
      <w:r>
        <w:rPr>
          <w:b/>
          <w:bCs/>
          <w:color w:val="1F3864"/>
          <w:sz w:val="24"/>
          <w:szCs w:val="24"/>
        </w:rPr>
        <w:t xml:space="preserve">5.2 Calibration silently discards its arguments</w:t>
      </w:r>
    </w:p>
    <w:p>
      <w:pPr>
        <w:spacing w:after="120" w:line="276"/>
      </w:pPr>
      <w:r>
        <w:rPr>
          <w:sz w:val="21"/>
          <w:szCs w:val="21"/>
        </w:rPr>
        <w:t xml:space="preserve">In quantize.py at line 282:</w:t>
      </w:r>
    </w:p>
    <w:p>
      <w:pPr>
        <w:spacing w:after="100" w:before="60"/>
        <w:ind w:left="360"/>
      </w:pPr>
      <w:r>
        <w:rPr>
          <w:rFonts w:ascii="Courier New" w:cs="Courier New" w:eastAsia="Courier New" w:hAnsi="Courier New"/>
          <w:sz w:val="18"/>
          <w:szCs w:val="18"/>
        </w:rPr>
        <w:t xml:space="preserve">if isinstance(module._calibrator, calib.MaxCalibrator):</w:t>
      </w:r>
    </w:p>
    <w:p>
      <w:pPr>
        <w:spacing w:after="100" w:before="60"/>
        <w:ind w:left="360"/>
      </w:pPr>
      <w:r>
        <w:rPr>
          <w:rFonts w:ascii="Courier New" w:cs="Courier New" w:eastAsia="Courier New" w:hAnsi="Courier New"/>
          <w:sz w:val="18"/>
          <w:szCs w:val="18"/>
        </w:rPr>
        <w:t xml:space="preserve">    module.load_calib_amax(strict=False)   # method, percentile ignored</w:t>
      </w:r>
    </w:p>
    <w:p>
      <w:pPr>
        <w:spacing w:after="100" w:before="60"/>
        <w:ind w:left="360"/>
      </w:pPr>
      <w:r>
        <w:rPr>
          <w:rFonts w:ascii="Courier New" w:cs="Courier New" w:eastAsia="Courier New" w:hAnsi="Courier New"/>
          <w:sz w:val="18"/>
          <w:szCs w:val="18"/>
        </w:rPr>
        <w:t xml:space="preserve">else:</w:t>
      </w:r>
    </w:p>
    <w:p>
      <w:pPr>
        <w:spacing w:after="100" w:before="60"/>
        <w:ind w:left="360"/>
      </w:pPr>
      <w:r>
        <w:rPr>
          <w:rFonts w:ascii="Courier New" w:cs="Courier New" w:eastAsia="Courier New" w:hAnsi="Courier New"/>
          <w:sz w:val="18"/>
          <w:szCs w:val="18"/>
        </w:rPr>
        <w:t xml:space="preserve">    module.load_calib_amax(**kwargs)</w:t>
      </w:r>
    </w:p>
    <w:p>
      <w:pPr>
        <w:spacing w:after="120" w:line="276"/>
      </w:pPr>
      <w:r>
        <w:rPr>
          <w:sz w:val="21"/>
          <w:szCs w:val="21"/>
        </w:rPr>
        <w:t xml:space="preserve">When the calibration method is max, the method and percentile arguments are accepted by the caller and then discarded. The quantization scale is pinned to the largest activation ever observed. No warning is issued.</w:t>
      </w:r>
    </w:p>
    <w:p>
      <w:pPr>
        <w:spacing w:after="120" w:line="276"/>
      </w:pPr>
      <w:r>
        <w:rPr>
          <w:sz w:val="21"/>
          <w:szCs w:val="21"/>
        </w:rPr>
        <w:t xml:space="preserve">This produced a perplexity of 7,106 and a top-1 accuracy of 1.65 per cent, which is indistinguishable from guessing. Selecting histogram calibration with a 99.9th percentile improved perplexity by a factor of 56.</w:t>
      </w:r>
    </w:p>
    <w:p>
      <w:pPr>
        <w:spacing w:after="120" w:line="276"/>
      </w:pPr>
      <w:r>
        <w:rPr>
          <w:sz w:val="21"/>
          <w:szCs w:val="21"/>
        </w:rPr>
        <w:t xml:space="preserve">A second, related trap: the percentile previously hardcoded in the harness was 99.9999. Across roughly 1.5 million calibration values that discards approximately one, so a single outlier still determines the scale.</w:t>
      </w:r>
    </w:p>
    <w:p>
      <w:pPr>
        <w:pStyle w:val="Heading2"/>
        <w:spacing w:after="120" w:before="260"/>
      </w:pPr>
      <w:r>
        <w:rPr>
          <w:b/>
          <w:bCs/>
          <w:color w:val="1F3864"/>
          <w:sz w:val="24"/>
          <w:szCs w:val="24"/>
        </w:rPr>
        <w:t xml:space="preserve">5.3 An uncalibrated quantizer is not a disabled quantizer</w:t>
      </w:r>
    </w:p>
    <w:p>
      <w:pPr>
        <w:spacing w:after="120" w:line="276"/>
      </w:pPr>
      <w:r>
        <w:rPr>
          <w:sz w:val="21"/>
          <w:szCs w:val="21"/>
        </w:rPr>
        <w:t xml:space="preserve">A TensorQuantizer whose scale has never been registered does not pass its input through unchanged. It still quantizes, deriving the scale dynamically from each batch; the class’s own diagnostic helper describes this state as dynamic. Only an explicitly disabled quantizer is transparent.</w:t>
      </w:r>
    </w:p>
    <w:p>
      <w:pPr>
        <w:spacing w:after="120" w:line="276"/>
      </w:pPr>
      <w:r>
        <w:rPr>
          <w:sz w:val="21"/>
          <w:szCs w:val="21"/>
        </w:rPr>
        <w:t xml:space="preserve">This is upstream behaviour rather than a defect, but it is a trap. It caused the harness to report a supposed FP32 baseline that was in fact dynamically quantized INT8, making every comparison meaningless until corrected.</w:t>
      </w:r>
    </w:p>
    <w:p>
      <w:r>
        <w:br w:type="page"/>
      </w:r>
    </w:p>
    <w:p>
      <w:pPr>
        <w:pStyle w:val="Heading1"/>
        <w:spacing w:after="160" w:before="360"/>
      </w:pPr>
      <w:r>
        <w:rPr>
          <w:b/>
          <w:bCs/>
          <w:color w:val="1F3864"/>
          <w:sz w:val="30"/>
          <w:szCs w:val="30"/>
        </w:rPr>
        <w:t xml:space="preserve">6. Environment changes</w:t>
      </w:r>
    </w:p>
    <w:p>
      <w:pPr>
        <w:pStyle w:val="Heading2"/>
        <w:spacing w:after="120" w:before="260"/>
      </w:pPr>
      <w:r>
        <w:rPr>
          <w:b/>
          <w:bCs/>
          <w:color w:val="1F3864"/>
          <w:sz w:val="24"/>
          <w:szCs w:val="24"/>
        </w:rPr>
        <w:t xml:space="preserve">6.1 Conda specification replaced by pip requirements</w:t>
      </w:r>
    </w:p>
    <w:p>
      <w:pPr>
        <w:spacing w:after="120" w:line="276"/>
      </w:pPr>
      <w:r>
        <w:rPr>
          <w:sz w:val="21"/>
          <w:szCs w:val="21"/>
        </w:rPr>
        <w:t xml:space="preserve">The upstream environment.yml pins exact Linux build strings and CUDA 12.1, and specifies torch 2.1.1 on Python 3.11.5. That stack cannot be installed on Python 3.12 or later, because torch 2.1.1 publishes no wheels beyond 3.11. Both development machines run Python 3.14.</w:t>
      </w:r>
    </w:p>
    <w:p>
      <w:pPr>
        <w:spacing w:after="120" w:line="276"/>
      </w:pPr>
      <w:r>
        <w:rPr>
          <w:sz w:val="21"/>
          <w:szCs w:val="21"/>
        </w:rPr>
        <w:t xml:space="preserve">The replacement, requirements.txt, specifies floors rather than pins and lists only direct dependencies. These were derived from the source by collecting every non-standard-library import across the repository and matching them against the versions named in environment.yml, rather than transcribing roughly 200 conda entries of which most are operating-system libraries that pip resolves on its own.</w:t>
      </w:r>
    </w:p>
    <w:p>
      <w:pPr>
        <w:spacing w:after="120" w:line="276"/>
      </w:pPr>
      <w:r>
        <w:rPr>
          <w:sz w:val="21"/>
          <w:szCs w:val="21"/>
        </w:rPr>
        <w:t xml:space="preserve">The trade-off is stated explicitly in the file: results are not bit-comparable to published NeuroSim figures produced on the original stack. Reproducibility is instead obtained from a lock file captured after a successful run.</w:t>
      </w:r>
    </w:p>
    <w:p>
      <w:pPr>
        <w:pStyle w:val="Heading2"/>
        <w:spacing w:after="120" w:before="260"/>
      </w:pPr>
      <w:r>
        <w:rPr>
          <w:b/>
          <w:bCs/>
          <w:color w:val="1F3864"/>
          <w:sz w:val="24"/>
          <w:szCs w:val="24"/>
        </w:rPr>
        <w:t xml:space="preserve">6.2 CUDA is a hard requirement</w:t>
      </w:r>
    </w:p>
    <w:p>
      <w:pPr>
        <w:spacing w:after="120" w:line="276"/>
      </w:pPr>
      <w:r>
        <w:rPr>
          <w:sz w:val="21"/>
          <w:szCs w:val="21"/>
        </w:rPr>
        <w:t xml:space="preserve">This was established during the port and constrains the project schedule. It is not merely the fast path:</w:t>
      </w:r>
    </w:p>
    <w:p>
      <w:pPr>
        <w:pStyle w:val="ListParagraph"/>
        <w:numPr>
          <w:ilvl w:val="0"/>
          <w:numId w:val="2"/>
        </w:numPr>
        <w:spacing w:after="80" w:line="276"/>
      </w:pPr>
      <w:r>
        <w:rPr>
          <w:sz w:val="21"/>
          <w:szCs w:val="21"/>
        </w:rPr>
        <w:t xml:space="preserve">setup.py declares a CUDA extension built from tensor_quant_gpu.cu, so the editable install requires nvcc.</w:t>
      </w:r>
    </w:p>
    <w:p>
      <w:pPr>
        <w:pStyle w:val="ListParagraph"/>
        <w:numPr>
          <w:ilvl w:val="0"/>
          <w:numId w:val="2"/>
        </w:numPr>
        <w:spacing w:after="80" w:line="276"/>
      </w:pPr>
      <w:r>
        <w:rPr>
          <w:sz w:val="21"/>
          <w:szCs w:val="21"/>
        </w:rPr>
        <w:t xml:space="preserve">tensor_quant.py imports that extension unconditionally at line 28, with no fallback. The package cannot be imported at all without it.</w:t>
      </w:r>
    </w:p>
    <w:p>
      <w:pPr>
        <w:pStyle w:val="ListParagraph"/>
        <w:numPr>
          <w:ilvl w:val="0"/>
          <w:numId w:val="2"/>
        </w:numPr>
        <w:spacing w:after="80" w:line="276"/>
      </w:pPr>
      <w:r>
        <w:rPr>
          <w:sz w:val="21"/>
          <w:szCs w:val="21"/>
        </w:rPr>
        <w:t xml:space="preserve">Device placement is hardcoded in several places in quantize.py and inference.py.</w:t>
      </w:r>
    </w:p>
    <w:p>
      <w:pPr>
        <w:spacing w:after="120" w:line="276"/>
      </w:pPr>
      <w:r>
        <w:rPr>
          <w:sz w:val="21"/>
          <w:szCs w:val="21"/>
        </w:rPr>
        <w:t xml:space="preserve">The third item alone could be patched. The first two could not, since the quantization core is compiled CUDA C++. The framework therefore cannot run on the macOS development machine; all simulation must occur on the Linux host.</w:t>
      </w:r>
    </w:p>
    <w:p>
      <w:pPr>
        <w:pStyle w:val="Heading2"/>
        <w:spacing w:after="120" w:before="260"/>
      </w:pPr>
      <w:r>
        <w:rPr>
          <w:b/>
          <w:bCs/>
          <w:color w:val="1F3864"/>
          <w:sz w:val="24"/>
          <w:szCs w:val="24"/>
        </w:rPr>
        <w:t xml:space="preserve">6.3 Build note</w:t>
      </w:r>
    </w:p>
    <w:p>
      <w:pPr>
        <w:spacing w:after="120" w:line="276"/>
      </w:pPr>
      <w:r>
        <w:rPr>
          <w:sz w:val="21"/>
          <w:szCs w:val="21"/>
        </w:rPr>
        <w:t xml:space="preserve">The extension has no pyproject.toml declaring torch as a build dependency, so an isolated build cannot see torch. Install with:</w:t>
      </w:r>
    </w:p>
    <w:p>
      <w:pPr>
        <w:spacing w:after="100" w:before="60"/>
        <w:ind w:left="360"/>
      </w:pPr>
      <w:r>
        <w:rPr>
          <w:rFonts w:ascii="Courier New" w:cs="Courier New" w:eastAsia="Courier New" w:hAnsi="Courier New"/>
          <w:sz w:val="18"/>
          <w:szCs w:val="18"/>
        </w:rPr>
        <w:t xml:space="preserve">pip install -e . --no-build-isolation</w:t>
      </w:r>
    </w:p>
    <w:p>
      <w:pPr>
        <w:spacing w:after="120" w:line="276"/>
      </w:pPr>
      <w:r>
        <w:rPr>
          <w:sz w:val="21"/>
          <w:szCs w:val="21"/>
        </w:rPr>
        <w:t xml:space="preserve">One source change was required for compatibility with modern PyTorch. In src/tensor_quant_gpu.cu, the deprecated construct inputs.type().scalarType() was replaced by inputs.scalar_type() at three sites. The former was removed from PyTorch after this extension was written.</w:t>
      </w:r>
    </w:p>
    <w:p>
      <w:pPr>
        <w:pStyle w:val="Heading1"/>
        <w:spacing w:after="160" w:before="360"/>
      </w:pPr>
      <w:r>
        <w:rPr>
          <w:b/>
          <w:bCs/>
          <w:color w:val="1F3864"/>
          <w:sz w:val="30"/>
          <w:szCs w:val="30"/>
        </w:rPr>
        <w:t xml:space="preserve">7. Results</w:t>
      </w:r>
    </w:p>
    <w:p>
      <w:pPr>
        <w:spacing w:after="120" w:line="276"/>
      </w:pPr>
      <w:r>
        <w:rPr>
          <w:sz w:val="21"/>
          <w:szCs w:val="21"/>
        </w:rPr>
        <w:t xml:space="preserve">WikiText-2 test split, sequence length 1024, 8,192 tokens. Eight-bit weights and inputs, seven-bit ADC, one bit per cell, 128 by 128 subarray.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1F3864" w:val="clear"/>
            <w:tcMar>
              <w:top w:type="dxa" w:w="80"/>
              <w:left w:type="dxa" w:w="110"/>
              <w:bottom w:type="dxa" w:w="80"/>
              <w:right w:type="dxa" w:w="110"/>
            </w:tcMar>
          </w:tcPr>
          <w:p>
            <w:pPr>
              <w:spacing w:after="0"/>
            </w:pPr>
            <w:r>
              <w:rPr>
                <w:b/>
                <w:bCs/>
                <w:color w:val="FFFFFF"/>
                <w:sz w:val="19"/>
                <w:szCs w:val="19"/>
              </w:rPr>
              <w:t xml:space="preserve">Stage</w:t>
            </w:r>
          </w:p>
        </w:tc>
        <w:tc>
          <w:tcPr>
            <w:tcW w:type="dxa" w:w="2400"/>
            <w:shd w:fill="1F3864" w:val="clear"/>
            <w:tcMar>
              <w:top w:type="dxa" w:w="80"/>
              <w:left w:type="dxa" w:w="110"/>
              <w:bottom w:type="dxa" w:w="80"/>
              <w:right w:type="dxa" w:w="110"/>
            </w:tcMar>
          </w:tcPr>
          <w:p>
            <w:pPr>
              <w:spacing w:after="0"/>
            </w:pPr>
            <w:r>
              <w:rPr>
                <w:b/>
                <w:bCs/>
                <w:color w:val="FFFFFF"/>
                <w:sz w:val="19"/>
                <w:szCs w:val="19"/>
              </w:rPr>
              <w:t xml:space="preserve">Perplexity</w:t>
            </w:r>
          </w:p>
        </w:tc>
        <w:tc>
          <w:tcPr>
            <w:tcW w:type="dxa" w:w="2400"/>
            <w:shd w:fill="1F3864" w:val="clear"/>
            <w:tcMar>
              <w:top w:type="dxa" w:w="80"/>
              <w:left w:type="dxa" w:w="110"/>
              <w:bottom w:type="dxa" w:w="80"/>
              <w:right w:type="dxa" w:w="110"/>
            </w:tcMar>
          </w:tcPr>
          <w:p>
            <w:pPr>
              <w:spacing w:after="0"/>
            </w:pPr>
            <w:r>
              <w:rPr>
                <w:b/>
                <w:bCs/>
                <w:color w:val="FFFFFF"/>
                <w:sz w:val="19"/>
                <w:szCs w:val="19"/>
              </w:rPr>
              <w:t xml:space="preserve">Top-1 (%)</w:t>
            </w:r>
          </w:p>
        </w:tc>
      </w:tr>
      <w:tr>
        <w:tc>
          <w:tcPr>
            <w:tcW w:type="dxa" w:w="4560"/>
            <w:shd w:fill="FFFFFF" w:val="clear"/>
            <w:tcMar>
              <w:top w:type="dxa" w:w="80"/>
              <w:left w:type="dxa" w:w="110"/>
              <w:bottom w:type="dxa" w:w="80"/>
              <w:right w:type="dxa" w:w="110"/>
            </w:tcMar>
          </w:tcPr>
          <w:p>
            <w:pPr>
              <w:spacing w:after="0"/>
            </w:pPr>
            <w:r>
              <w:rPr>
                <w:b w:val="false"/>
                <w:bCs w:val="false"/>
                <w:color w:val="000000"/>
                <w:sz w:val="19"/>
                <w:szCs w:val="19"/>
              </w:rPr>
              <w:t xml:space="preserve">FP32 baseline</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33.64</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36.87</w:t>
            </w:r>
          </w:p>
        </w:tc>
      </w:tr>
      <w:tr>
        <w:tc>
          <w:tcPr>
            <w:tcW w:type="dxa" w:w="4560"/>
            <w:shd w:fill="FFFFFF" w:val="clear"/>
            <w:tcMar>
              <w:top w:type="dxa" w:w="80"/>
              <w:left w:type="dxa" w:w="110"/>
              <w:bottom w:type="dxa" w:w="80"/>
              <w:right w:type="dxa" w:w="110"/>
            </w:tcMar>
          </w:tcPr>
          <w:p>
            <w:pPr>
              <w:spacing w:after="0"/>
            </w:pPr>
            <w:r>
              <w:rPr>
                <w:b w:val="false"/>
                <w:bCs w:val="false"/>
                <w:color w:val="000000"/>
                <w:sz w:val="19"/>
                <w:szCs w:val="19"/>
              </w:rPr>
              <w:t xml:space="preserve">INT8, weights only</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33.64</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36.88</w:t>
            </w:r>
          </w:p>
        </w:tc>
      </w:tr>
      <w:tr>
        <w:tc>
          <w:tcPr>
            <w:tcW w:type="dxa" w:w="4560"/>
            <w:shd w:fill="FFFFFF" w:val="clear"/>
            <w:tcMar>
              <w:top w:type="dxa" w:w="80"/>
              <w:left w:type="dxa" w:w="110"/>
              <w:bottom w:type="dxa" w:w="80"/>
              <w:right w:type="dxa" w:w="110"/>
            </w:tcMar>
          </w:tcPr>
          <w:p>
            <w:pPr>
              <w:spacing w:after="0"/>
            </w:pPr>
            <w:r>
              <w:rPr>
                <w:b w:val="false"/>
                <w:bCs w:val="false"/>
                <w:color w:val="000000"/>
                <w:sz w:val="19"/>
                <w:szCs w:val="19"/>
              </w:rPr>
              <w:t xml:space="preserve">INT8, inputs only</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120.84</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23.90</w:t>
            </w:r>
          </w:p>
        </w:tc>
      </w:tr>
      <w:tr>
        <w:tc>
          <w:tcPr>
            <w:tcW w:type="dxa" w:w="4560"/>
            <w:shd w:fill="FFFFFF" w:val="clear"/>
            <w:tcMar>
              <w:top w:type="dxa" w:w="80"/>
              <w:left w:type="dxa" w:w="110"/>
              <w:bottom w:type="dxa" w:w="80"/>
              <w:right w:type="dxa" w:w="110"/>
            </w:tcMar>
          </w:tcPr>
          <w:p>
            <w:pPr>
              <w:spacing w:after="0"/>
            </w:pPr>
            <w:r>
              <w:rPr>
                <w:b w:val="false"/>
                <w:bCs w:val="false"/>
                <w:color w:val="000000"/>
                <w:sz w:val="19"/>
                <w:szCs w:val="19"/>
              </w:rPr>
              <w:t xml:space="preserve">INT8, inputs and weights</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126.75</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23.47</w:t>
            </w:r>
          </w:p>
        </w:tc>
      </w:tr>
      <w:tr>
        <w:tc>
          <w:tcPr>
            <w:tcW w:type="dxa" w:w="4560"/>
            <w:shd w:fill="FFFFFF" w:val="clear"/>
            <w:tcMar>
              <w:top w:type="dxa" w:w="80"/>
              <w:left w:type="dxa" w:w="110"/>
              <w:bottom w:type="dxa" w:w="80"/>
              <w:right w:type="dxa" w:w="110"/>
            </w:tcMar>
          </w:tcPr>
          <w:p>
            <w:pPr>
              <w:spacing w:after="0"/>
            </w:pPr>
            <w:r>
              <w:rPr>
                <w:b w:val="false"/>
                <w:bCs w:val="false"/>
                <w:color w:val="000000"/>
                <w:sz w:val="19"/>
                <w:szCs w:val="19"/>
              </w:rPr>
              <w:t xml:space="preserve">CIM, with ADC and device effects</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122.72</w:t>
            </w:r>
          </w:p>
        </w:tc>
        <w:tc>
          <w:tcPr>
            <w:tcW w:type="dxa" w:w="2400"/>
            <w:shd w:fill="FFFFFF" w:val="clear"/>
            <w:tcMar>
              <w:top w:type="dxa" w:w="80"/>
              <w:left w:type="dxa" w:w="110"/>
              <w:bottom w:type="dxa" w:w="80"/>
              <w:right w:type="dxa" w:w="110"/>
            </w:tcMar>
          </w:tcPr>
          <w:p>
            <w:pPr>
              <w:spacing w:after="0"/>
            </w:pPr>
            <w:r>
              <w:rPr>
                <w:b w:val="false"/>
                <w:bCs w:val="false"/>
                <w:color w:val="000000"/>
                <w:sz w:val="19"/>
                <w:szCs w:val="19"/>
              </w:rPr>
              <w:t xml:space="preserve">22.88</w:t>
            </w:r>
          </w:p>
        </w:tc>
      </w:tr>
    </w:tbl>
    <w:p>
      <w:pPr>
        <w:spacing w:after="160"/>
      </w:pPr>
    </w:p>
    <w:p>
      <w:pPr>
        <w:spacing w:after="120" w:line="276"/>
      </w:pPr>
      <w:r>
        <w:rPr>
          <w:sz w:val="21"/>
          <w:szCs w:val="21"/>
        </w:rPr>
        <w:t xml:space="preserve">Independently confirmed by baseline_gpt2.py over the full test split: 31.83 perplexity and 38.00 per cent top-1 accuracy, consistent with the published figure for GPT-2 small.</w:t>
      </w:r>
    </w:p>
    <w:p>
      <w:pPr>
        <w:pStyle w:val="Heading2"/>
        <w:spacing w:after="120" w:before="260"/>
      </w:pPr>
      <w:r>
        <w:rPr>
          <w:b/>
          <w:bCs/>
          <w:color w:val="1F3864"/>
          <w:sz w:val="24"/>
          <w:szCs w:val="24"/>
        </w:rPr>
        <w:t xml:space="preserve">7.1 The ablation is decisive</w:t>
      </w:r>
    </w:p>
    <w:p>
      <w:pPr>
        <w:spacing w:after="120" w:line="276"/>
      </w:pPr>
      <w:r>
        <w:rPr>
          <w:sz w:val="21"/>
          <w:szCs w:val="21"/>
        </w:rPr>
        <w:t xml:space="preserve">Eight-bit weight quantization is free. At 33.642 against a baseline of 33.636, the difference is 0.02 per cent and indistinguishable from noise. The entire degradation originates in per-tensor activation quantization. This has a direct practical consequence: effort spent on weight quantization is wasted, and lower weight precision is worth exploring for the area and energy savings it brings.</w:t>
      </w:r>
    </w:p>
    <w:p>
      <w:pPr>
        <w:pStyle w:val="Heading2"/>
        <w:spacing w:after="120" w:before="260"/>
      </w:pPr>
      <w:r>
        <w:rPr>
          <w:b/>
          <w:bCs/>
          <w:color w:val="1F3864"/>
          <w:sz w:val="24"/>
          <w:szCs w:val="24"/>
        </w:rPr>
        <w:t xml:space="preserve">7.2 Activation outliers,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700"/>
        <w:gridCol w:w="1500"/>
        <w:gridCol w:w="1700"/>
      </w:tblGrid>
      <w:tr>
        <w:trPr>
          <w:tblHeader/>
        </w:trPr>
        <w:tc>
          <w:tcPr>
            <w:tcW w:type="dxa" w:w="2760"/>
            <w:shd w:fill="1F3864" w:val="clear"/>
            <w:tcMar>
              <w:top w:type="dxa" w:w="80"/>
              <w:left w:type="dxa" w:w="110"/>
              <w:bottom w:type="dxa" w:w="80"/>
              <w:right w:type="dxa" w:w="110"/>
            </w:tcMar>
          </w:tcPr>
          <w:p>
            <w:pPr>
              <w:spacing w:after="0"/>
            </w:pPr>
            <w:r>
              <w:rPr>
                <w:b/>
                <w:bCs/>
                <w:color w:val="FFFFFF"/>
                <w:sz w:val="19"/>
                <w:szCs w:val="19"/>
              </w:rPr>
              <w:t xml:space="preserve">Layer</w:t>
            </w:r>
          </w:p>
        </w:tc>
        <w:tc>
          <w:tcPr>
            <w:tcW w:type="dxa" w:w="1700"/>
            <w:shd w:fill="1F3864" w:val="clear"/>
            <w:tcMar>
              <w:top w:type="dxa" w:w="80"/>
              <w:left w:type="dxa" w:w="110"/>
              <w:bottom w:type="dxa" w:w="80"/>
              <w:right w:type="dxa" w:w="110"/>
            </w:tcMar>
          </w:tcPr>
          <w:p>
            <w:pPr>
              <w:spacing w:after="0"/>
            </w:pPr>
            <w:r>
              <w:rPr>
                <w:b/>
                <w:bCs/>
                <w:color w:val="FFFFFF"/>
                <w:sz w:val="19"/>
                <w:szCs w:val="19"/>
              </w:rPr>
              <w:t xml:space="preserve">Maximum</w:t>
            </w:r>
          </w:p>
        </w:tc>
        <w:tc>
          <w:tcPr>
            <w:tcW w:type="dxa" w:w="1700"/>
            <w:shd w:fill="1F3864" w:val="clear"/>
            <w:tcMar>
              <w:top w:type="dxa" w:w="80"/>
              <w:left w:type="dxa" w:w="110"/>
              <w:bottom w:type="dxa" w:w="80"/>
              <w:right w:type="dxa" w:w="110"/>
            </w:tcMar>
          </w:tcPr>
          <w:p>
            <w:pPr>
              <w:spacing w:after="0"/>
            </w:pPr>
            <w:r>
              <w:rPr>
                <w:b/>
                <w:bCs/>
                <w:color w:val="FFFFFF"/>
                <w:sz w:val="19"/>
                <w:szCs w:val="19"/>
              </w:rPr>
              <w:t xml:space="preserve">99.9th pct</w:t>
            </w:r>
          </w:p>
        </w:tc>
        <w:tc>
          <w:tcPr>
            <w:tcW w:type="dxa" w:w="1500"/>
            <w:shd w:fill="1F3864" w:val="clear"/>
            <w:tcMar>
              <w:top w:type="dxa" w:w="80"/>
              <w:left w:type="dxa" w:w="110"/>
              <w:bottom w:type="dxa" w:w="80"/>
              <w:right w:type="dxa" w:w="110"/>
            </w:tcMar>
          </w:tcPr>
          <w:p>
            <w:pPr>
              <w:spacing w:after="0"/>
            </w:pPr>
            <w:r>
              <w:rPr>
                <w:b/>
                <w:bCs/>
                <w:color w:val="FFFFFF"/>
                <w:sz w:val="19"/>
                <w:szCs w:val="19"/>
              </w:rPr>
              <w:t xml:space="preserve">Ratio</w:t>
            </w:r>
          </w:p>
        </w:tc>
        <w:tc>
          <w:tcPr>
            <w:tcW w:type="dxa" w:w="1700"/>
            <w:shd w:fill="1F3864" w:val="clear"/>
            <w:tcMar>
              <w:top w:type="dxa" w:w="80"/>
              <w:left w:type="dxa" w:w="110"/>
              <w:bottom w:type="dxa" w:w="80"/>
              <w:right w:type="dxa" w:w="110"/>
            </w:tcMar>
          </w:tcPr>
          <w:p>
            <w:pPr>
              <w:spacing w:after="0"/>
            </w:pPr>
            <w:r>
              <w:rPr>
                <w:b/>
                <w:bCs/>
                <w:color w:val="FFFFFF"/>
                <w:sz w:val="19"/>
                <w:szCs w:val="19"/>
              </w:rPr>
              <w:t xml:space="preserve">Effective bits</w:t>
            </w:r>
          </w:p>
        </w:tc>
      </w:tr>
      <w:tr>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h.11.mlp.c_proj</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33.86</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2.93</w:t>
            </w:r>
          </w:p>
        </w:tc>
        <w:tc>
          <w:tcPr>
            <w:tcW w:type="dxa" w:w="1500"/>
            <w:shd w:fill="FFFFFF" w:val="clear"/>
            <w:tcMar>
              <w:top w:type="dxa" w:w="80"/>
              <w:left w:type="dxa" w:w="110"/>
              <w:bottom w:type="dxa" w:w="80"/>
              <w:right w:type="dxa" w:w="110"/>
            </w:tcMar>
          </w:tcPr>
          <w:p>
            <w:pPr>
              <w:spacing w:after="0"/>
            </w:pPr>
            <w:r>
              <w:rPr>
                <w:b w:val="false"/>
                <w:bCs w:val="false"/>
                <w:color w:val="000000"/>
                <w:sz w:val="19"/>
                <w:szCs w:val="19"/>
              </w:rPr>
              <w:t xml:space="preserve">11.6</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4.5</w:t>
            </w:r>
          </w:p>
        </w:tc>
      </w:tr>
      <w:tr>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h.2.mlp.c_fc</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19.80</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1.78</w:t>
            </w:r>
          </w:p>
        </w:tc>
        <w:tc>
          <w:tcPr>
            <w:tcW w:type="dxa" w:w="1500"/>
            <w:shd w:fill="FFFFFF" w:val="clear"/>
            <w:tcMar>
              <w:top w:type="dxa" w:w="80"/>
              <w:left w:type="dxa" w:w="110"/>
              <w:bottom w:type="dxa" w:w="80"/>
              <w:right w:type="dxa" w:w="110"/>
            </w:tcMar>
          </w:tcPr>
          <w:p>
            <w:pPr>
              <w:spacing w:after="0"/>
            </w:pPr>
            <w:r>
              <w:rPr>
                <w:b w:val="false"/>
                <w:bCs w:val="false"/>
                <w:color w:val="000000"/>
                <w:sz w:val="19"/>
                <w:szCs w:val="19"/>
              </w:rPr>
              <w:t xml:space="preserve">11.1</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4.5</w:t>
            </w:r>
          </w:p>
        </w:tc>
      </w:tr>
      <w:tr>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h.1.mlp.c_proj</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12.26</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1.55</w:t>
            </w:r>
          </w:p>
        </w:tc>
        <w:tc>
          <w:tcPr>
            <w:tcW w:type="dxa" w:w="1500"/>
            <w:shd w:fill="FFFFFF" w:val="clear"/>
            <w:tcMar>
              <w:top w:type="dxa" w:w="80"/>
              <w:left w:type="dxa" w:w="110"/>
              <w:bottom w:type="dxa" w:w="80"/>
              <w:right w:type="dxa" w:w="110"/>
            </w:tcMar>
          </w:tcPr>
          <w:p>
            <w:pPr>
              <w:spacing w:after="0"/>
            </w:pPr>
            <w:r>
              <w:rPr>
                <w:b w:val="false"/>
                <w:bCs w:val="false"/>
                <w:color w:val="000000"/>
                <w:sz w:val="19"/>
                <w:szCs w:val="19"/>
              </w:rPr>
              <w:t xml:space="preserve">7.9</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5.0</w:t>
            </w:r>
          </w:p>
        </w:tc>
      </w:tr>
      <w:tr>
        <w:tc>
          <w:tcPr>
            <w:tcW w:type="dxa" w:w="2760"/>
            <w:shd w:fill="FFFFFF" w:val="clear"/>
            <w:tcMar>
              <w:top w:type="dxa" w:w="80"/>
              <w:left w:type="dxa" w:w="110"/>
              <w:bottom w:type="dxa" w:w="80"/>
              <w:right w:type="dxa" w:w="110"/>
            </w:tcMar>
          </w:tcPr>
          <w:p>
            <w:pPr>
              <w:spacing w:after="0"/>
            </w:pPr>
            <w:r>
              <w:rPr>
                <w:b w:val="false"/>
                <w:bCs w:val="false"/>
                <w:color w:val="000000"/>
                <w:sz w:val="19"/>
                <w:szCs w:val="19"/>
              </w:rPr>
              <w:t xml:space="preserve">h.3.mlp.c_proj</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10.71</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1.49</w:t>
            </w:r>
          </w:p>
        </w:tc>
        <w:tc>
          <w:tcPr>
            <w:tcW w:type="dxa" w:w="1500"/>
            <w:shd w:fill="FFFFFF" w:val="clear"/>
            <w:tcMar>
              <w:top w:type="dxa" w:w="80"/>
              <w:left w:type="dxa" w:w="110"/>
              <w:bottom w:type="dxa" w:w="80"/>
              <w:right w:type="dxa" w:w="110"/>
            </w:tcMar>
          </w:tcPr>
          <w:p>
            <w:pPr>
              <w:spacing w:after="0"/>
            </w:pPr>
            <w:r>
              <w:rPr>
                <w:b w:val="false"/>
                <w:bCs w:val="false"/>
                <w:color w:val="000000"/>
                <w:sz w:val="19"/>
                <w:szCs w:val="19"/>
              </w:rPr>
              <w:t xml:space="preserve">7.2</w:t>
            </w:r>
          </w:p>
        </w:tc>
        <w:tc>
          <w:tcPr>
            <w:tcW w:type="dxa" w:w="1700"/>
            <w:shd w:fill="FFFFFF" w:val="clear"/>
            <w:tcMar>
              <w:top w:type="dxa" w:w="80"/>
              <w:left w:type="dxa" w:w="110"/>
              <w:bottom w:type="dxa" w:w="80"/>
              <w:right w:type="dxa" w:w="110"/>
            </w:tcMar>
          </w:tcPr>
          <w:p>
            <w:pPr>
              <w:spacing w:after="0"/>
            </w:pPr>
            <w:r>
              <w:rPr>
                <w:b w:val="false"/>
                <w:bCs w:val="false"/>
                <w:color w:val="000000"/>
                <w:sz w:val="19"/>
                <w:szCs w:val="19"/>
              </w:rPr>
              <w:t xml:space="preserve">5.2</w:t>
            </w:r>
          </w:p>
        </w:tc>
      </w:tr>
    </w:tbl>
    <w:p>
      <w:pPr>
        <w:spacing w:after="160"/>
      </w:pPr>
    </w:p>
    <w:p>
      <w:pPr>
        <w:spacing w:after="120" w:line="276"/>
      </w:pPr>
      <w:r>
        <w:rPr>
          <w:sz w:val="21"/>
          <w:szCs w:val="21"/>
        </w:rPr>
        <w:t xml:space="preserve">Worst ratio 11.6, median 2.6 across the 48 mapped layers. A ratio of R leaves typical activations with 8 minus the base-2 logarithm of R effective bits, so the worst layers operate at roughly 4.5 bits despite an eight-bit budget.</w:t>
      </w:r>
    </w:p>
    <w:p>
      <w:pPr>
        <w:spacing w:after="120" w:line="276"/>
      </w:pPr>
      <w:r>
        <w:rPr>
          <w:sz w:val="21"/>
          <w:szCs w:val="21"/>
        </w:rPr>
        <w:t xml:space="preserve">Every one of the worst layers belongs to the MLP. The second projection consumes GELU output and the first consumes LayerNorm output. These were the two distributions identified as risks when the port was written, before any measurement; attention projections do not appear among the worst.</w:t>
      </w:r>
    </w:p>
    <w:p>
      <w:pPr>
        <w:pStyle w:val="Heading2"/>
        <w:spacing w:after="120" w:before="260"/>
      </w:pPr>
      <w:r>
        <w:rPr>
          <w:b/>
          <w:bCs/>
          <w:color w:val="1F3864"/>
          <w:sz w:val="24"/>
          <w:szCs w:val="24"/>
        </w:rPr>
        <w:t xml:space="preserve">7.3 Hardware realizability constrains the remedy</w:t>
      </w:r>
    </w:p>
    <w:p>
      <w:pPr>
        <w:spacing w:after="120" w:line="276"/>
      </w:pPr>
      <w:r>
        <w:rPr>
          <w:sz w:val="21"/>
          <w:szCs w:val="21"/>
        </w:rPr>
        <w:t xml:space="preserve">The conventional fix for activation outliers is per-channel scaling. On a crossbar this is not physically realizable: a per-input-channel scale implies a distinct voltage per row, while the column integrates the sum of voltage times conductance in the analog domain, with no opportunity to undo per-row factors afterwards.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rPr>
          <w:tblHeader/>
        </w:trPr>
        <w:tc>
          <w:tcPr>
            <w:tcW w:type="dxa" w:w="2900"/>
            <w:shd w:fill="1F3864" w:val="clear"/>
            <w:tcMar>
              <w:top w:type="dxa" w:w="80"/>
              <w:left w:type="dxa" w:w="110"/>
              <w:bottom w:type="dxa" w:w="80"/>
              <w:right w:type="dxa" w:w="110"/>
            </w:tcMar>
          </w:tcPr>
          <w:p>
            <w:pPr>
              <w:spacing w:after="0"/>
            </w:pPr>
            <w:r>
              <w:rPr>
                <w:b/>
                <w:bCs/>
                <w:color w:val="FFFFFF"/>
                <w:sz w:val="19"/>
                <w:szCs w:val="19"/>
              </w:rPr>
              <w:t xml:space="preserve">Quantization scheme</w:t>
            </w:r>
          </w:p>
        </w:tc>
        <w:tc>
          <w:tcPr>
            <w:tcW w:type="dxa" w:w="1300"/>
            <w:shd w:fill="1F3864" w:val="clear"/>
            <w:tcMar>
              <w:top w:type="dxa" w:w="80"/>
              <w:left w:type="dxa" w:w="110"/>
              <w:bottom w:type="dxa" w:w="80"/>
              <w:right w:type="dxa" w:w="110"/>
            </w:tcMar>
          </w:tcPr>
          <w:p>
            <w:pPr>
              <w:spacing w:after="0"/>
            </w:pPr>
            <w:r>
              <w:rPr>
                <w:b/>
                <w:bCs/>
                <w:color w:val="FFFFFF"/>
                <w:sz w:val="19"/>
                <w:szCs w:val="19"/>
              </w:rPr>
              <w:t xml:space="preserve">Realizable</w:t>
            </w:r>
          </w:p>
        </w:tc>
        <w:tc>
          <w:tcPr>
            <w:tcW w:type="dxa" w:w="5160"/>
            <w:shd w:fill="1F3864" w:val="clear"/>
            <w:tcMar>
              <w:top w:type="dxa" w:w="80"/>
              <w:left w:type="dxa" w:w="110"/>
              <w:bottom w:type="dxa" w:w="80"/>
              <w:right w:type="dxa" w:w="110"/>
            </w:tcMar>
          </w:tcPr>
          <w:p>
            <w:pPr>
              <w:spacing w:after="0"/>
            </w:pPr>
            <w:r>
              <w:rPr>
                <w:b/>
                <w:bCs/>
                <w:color w:val="FFFFFF"/>
                <w:sz w:val="19"/>
                <w:szCs w:val="19"/>
              </w:rPr>
              <w:t xml:space="preserve">Reason</w:t>
            </w:r>
          </w:p>
        </w:tc>
      </w:tr>
      <w:tr>
        <w:tc>
          <w:tcPr>
            <w:tcW w:type="dxa" w:w="2900"/>
            <w:shd w:fill="FFFFFF" w:val="clear"/>
            <w:tcMar>
              <w:top w:type="dxa" w:w="80"/>
              <w:left w:type="dxa" w:w="110"/>
              <w:bottom w:type="dxa" w:w="80"/>
              <w:right w:type="dxa" w:w="110"/>
            </w:tcMar>
          </w:tcPr>
          <w:p>
            <w:pPr>
              <w:spacing w:after="0"/>
            </w:pPr>
            <w:r>
              <w:rPr>
                <w:b w:val="false"/>
                <w:bCs w:val="false"/>
                <w:color w:val="000000"/>
                <w:sz w:val="19"/>
                <w:szCs w:val="19"/>
              </w:rPr>
              <w:t xml:space="preserve">Per-tensor input</w:t>
            </w:r>
          </w:p>
        </w:tc>
        <w:tc>
          <w:tcPr>
            <w:tcW w:type="dxa" w:w="1300"/>
            <w:shd w:fill="FFFFFF" w:val="clear"/>
            <w:tcMar>
              <w:top w:type="dxa" w:w="80"/>
              <w:left w:type="dxa" w:w="110"/>
              <w:bottom w:type="dxa" w:w="80"/>
              <w:right w:type="dxa" w:w="110"/>
            </w:tcMar>
          </w:tcPr>
          <w:p>
            <w:pPr>
              <w:spacing w:after="0"/>
            </w:pPr>
            <w:r>
              <w:rPr>
                <w:b w:val="false"/>
                <w:bCs w:val="false"/>
                <w:color w:val="000000"/>
                <w:sz w:val="19"/>
                <w:szCs w:val="19"/>
              </w:rPr>
              <w:t xml:space="preserve">Yes</w:t>
            </w:r>
          </w:p>
        </w:tc>
        <w:tc>
          <w:tcPr>
            <w:tcW w:type="dxa" w:w="5160"/>
            <w:shd w:fill="FFFFFF" w:val="clear"/>
            <w:tcMar>
              <w:top w:type="dxa" w:w="80"/>
              <w:left w:type="dxa" w:w="110"/>
              <w:bottom w:type="dxa" w:w="80"/>
              <w:right w:type="dxa" w:w="110"/>
            </w:tcMar>
          </w:tcPr>
          <w:p>
            <w:pPr>
              <w:spacing w:after="0"/>
            </w:pPr>
            <w:r>
              <w:rPr>
                <w:b w:val="false"/>
                <w:bCs w:val="false"/>
                <w:color w:val="000000"/>
                <w:sz w:val="19"/>
                <w:szCs w:val="19"/>
              </w:rPr>
              <w:t xml:space="preserve">One scale per matrix multiply, applied digitally after the ADC</w:t>
            </w:r>
          </w:p>
        </w:tc>
      </w:tr>
      <w:tr>
        <w:tc>
          <w:tcPr>
            <w:tcW w:type="dxa" w:w="2900"/>
            <w:shd w:fill="FFFFFF" w:val="clear"/>
            <w:tcMar>
              <w:top w:type="dxa" w:w="80"/>
              <w:left w:type="dxa" w:w="110"/>
              <w:bottom w:type="dxa" w:w="80"/>
              <w:right w:type="dxa" w:w="110"/>
            </w:tcMar>
          </w:tcPr>
          <w:p>
            <w:pPr>
              <w:spacing w:after="0"/>
            </w:pPr>
            <w:r>
              <w:rPr>
                <w:b w:val="false"/>
                <w:bCs w:val="false"/>
                <w:color w:val="000000"/>
                <w:sz w:val="19"/>
                <w:szCs w:val="19"/>
              </w:rPr>
              <w:t xml:space="preserve">Per-token input</w:t>
            </w:r>
          </w:p>
        </w:tc>
        <w:tc>
          <w:tcPr>
            <w:tcW w:type="dxa" w:w="1300"/>
            <w:shd w:fill="FFFFFF" w:val="clear"/>
            <w:tcMar>
              <w:top w:type="dxa" w:w="80"/>
              <w:left w:type="dxa" w:w="110"/>
              <w:bottom w:type="dxa" w:w="80"/>
              <w:right w:type="dxa" w:w="110"/>
            </w:tcMar>
          </w:tcPr>
          <w:p>
            <w:pPr>
              <w:spacing w:after="0"/>
            </w:pPr>
            <w:r>
              <w:rPr>
                <w:b w:val="false"/>
                <w:bCs w:val="false"/>
                <w:color w:val="000000"/>
                <w:sz w:val="19"/>
                <w:szCs w:val="19"/>
              </w:rPr>
              <w:t xml:space="preserve">Yes</w:t>
            </w:r>
          </w:p>
        </w:tc>
        <w:tc>
          <w:tcPr>
            <w:tcW w:type="dxa" w:w="5160"/>
            <w:shd w:fill="FFFFFF" w:val="clear"/>
            <w:tcMar>
              <w:top w:type="dxa" w:w="80"/>
              <w:left w:type="dxa" w:w="110"/>
              <w:bottom w:type="dxa" w:w="80"/>
              <w:right w:type="dxa" w:w="110"/>
            </w:tcMar>
          </w:tcPr>
          <w:p>
            <w:pPr>
              <w:spacing w:after="0"/>
            </w:pPr>
            <w:r>
              <w:rPr>
                <w:b w:val="false"/>
                <w:bCs w:val="false"/>
                <w:color w:val="000000"/>
                <w:sz w:val="19"/>
                <w:szCs w:val="19"/>
              </w:rPr>
              <w:t xml:space="preserve">One scale per input vector</w:t>
            </w:r>
          </w:p>
        </w:tc>
      </w:tr>
      <w:tr>
        <w:tc>
          <w:tcPr>
            <w:tcW w:type="dxa" w:w="2900"/>
            <w:shd w:fill="FFFFFF" w:val="clear"/>
            <w:tcMar>
              <w:top w:type="dxa" w:w="80"/>
              <w:left w:type="dxa" w:w="110"/>
              <w:bottom w:type="dxa" w:w="80"/>
              <w:right w:type="dxa" w:w="110"/>
            </w:tcMar>
          </w:tcPr>
          <w:p>
            <w:pPr>
              <w:spacing w:after="0"/>
            </w:pPr>
            <w:r>
              <w:rPr>
                <w:b w:val="false"/>
                <w:bCs w:val="false"/>
                <w:color w:val="000000"/>
                <w:sz w:val="19"/>
                <w:szCs w:val="19"/>
              </w:rPr>
              <w:t xml:space="preserve">Per-input-channel input</w:t>
            </w:r>
          </w:p>
        </w:tc>
        <w:tc>
          <w:tcPr>
            <w:tcW w:type="dxa" w:w="1300"/>
            <w:shd w:fill="FFFFFF" w:val="clear"/>
            <w:tcMar>
              <w:top w:type="dxa" w:w="80"/>
              <w:left w:type="dxa" w:w="110"/>
              <w:bottom w:type="dxa" w:w="80"/>
              <w:right w:type="dxa" w:w="110"/>
            </w:tcMar>
          </w:tcPr>
          <w:p>
            <w:pPr>
              <w:spacing w:after="0"/>
            </w:pPr>
            <w:r>
              <w:rPr>
                <w:b w:val="false"/>
                <w:bCs w:val="false"/>
                <w:color w:val="000000"/>
                <w:sz w:val="19"/>
                <w:szCs w:val="19"/>
              </w:rPr>
              <w:t xml:space="preserve">No</w:t>
            </w:r>
          </w:p>
        </w:tc>
        <w:tc>
          <w:tcPr>
            <w:tcW w:type="dxa" w:w="5160"/>
            <w:shd w:fill="FFFFFF" w:val="clear"/>
            <w:tcMar>
              <w:top w:type="dxa" w:w="80"/>
              <w:left w:type="dxa" w:w="110"/>
              <w:bottom w:type="dxa" w:w="80"/>
              <w:right w:type="dxa" w:w="110"/>
            </w:tcMar>
          </w:tcPr>
          <w:p>
            <w:pPr>
              <w:spacing w:after="0"/>
            </w:pPr>
            <w:r>
              <w:rPr>
                <w:b w:val="false"/>
                <w:bCs w:val="false"/>
                <w:color w:val="000000"/>
                <w:sz w:val="19"/>
                <w:szCs w:val="19"/>
              </w:rPr>
              <w:t xml:space="preserve">Per-row analog scale cannot be undone after summation</w:t>
            </w:r>
          </w:p>
        </w:tc>
      </w:tr>
      <w:tr>
        <w:tc>
          <w:tcPr>
            <w:tcW w:type="dxa" w:w="2900"/>
            <w:shd w:fill="FFFFFF" w:val="clear"/>
            <w:tcMar>
              <w:top w:type="dxa" w:w="80"/>
              <w:left w:type="dxa" w:w="110"/>
              <w:bottom w:type="dxa" w:w="80"/>
              <w:right w:type="dxa" w:w="110"/>
            </w:tcMar>
          </w:tcPr>
          <w:p>
            <w:pPr>
              <w:spacing w:after="0"/>
            </w:pPr>
            <w:r>
              <w:rPr>
                <w:b w:val="false"/>
                <w:bCs w:val="false"/>
                <w:color w:val="000000"/>
                <w:sz w:val="19"/>
                <w:szCs w:val="19"/>
              </w:rPr>
              <w:t xml:space="preserve">Per-output-channel weight</w:t>
            </w:r>
          </w:p>
        </w:tc>
        <w:tc>
          <w:tcPr>
            <w:tcW w:type="dxa" w:w="1300"/>
            <w:shd w:fill="FFFFFF" w:val="clear"/>
            <w:tcMar>
              <w:top w:type="dxa" w:w="80"/>
              <w:left w:type="dxa" w:w="110"/>
              <w:bottom w:type="dxa" w:w="80"/>
              <w:right w:type="dxa" w:w="110"/>
            </w:tcMar>
          </w:tcPr>
          <w:p>
            <w:pPr>
              <w:spacing w:after="0"/>
            </w:pPr>
            <w:r>
              <w:rPr>
                <w:b w:val="false"/>
                <w:bCs w:val="false"/>
                <w:color w:val="000000"/>
                <w:sz w:val="19"/>
                <w:szCs w:val="19"/>
              </w:rPr>
              <w:t xml:space="preserve">Yes</w:t>
            </w:r>
          </w:p>
        </w:tc>
        <w:tc>
          <w:tcPr>
            <w:tcW w:type="dxa" w:w="5160"/>
            <w:shd w:fill="FFFFFF" w:val="clear"/>
            <w:tcMar>
              <w:top w:type="dxa" w:w="80"/>
              <w:left w:type="dxa" w:w="110"/>
              <w:bottom w:type="dxa" w:w="80"/>
              <w:right w:type="dxa" w:w="110"/>
            </w:tcMar>
          </w:tcPr>
          <w:p>
            <w:pPr>
              <w:spacing w:after="0"/>
            </w:pPr>
            <w:r>
              <w:rPr>
                <w:b w:val="false"/>
                <w:bCs w:val="false"/>
                <w:color w:val="000000"/>
                <w:sz w:val="19"/>
                <w:szCs w:val="19"/>
              </w:rPr>
              <w:t xml:space="preserve">One scale per column, applied after the ADC</w:t>
            </w:r>
          </w:p>
        </w:tc>
      </w:tr>
    </w:tbl>
    <w:p>
      <w:pPr>
        <w:spacing w:after="160"/>
      </w:pPr>
    </w:p>
    <w:p>
      <w:pPr>
        <w:spacing w:after="120" w:line="276"/>
      </w:pPr>
      <w:r>
        <w:rPr>
          <w:sz w:val="21"/>
          <w:szCs w:val="21"/>
        </w:rPr>
        <w:t xml:space="preserve">The remaining options are percentile or mean-squared-error clipping, higher input precision (which costs DAC cycles directly, since the cycle count is the input precision divided by the DAC precision), or migrating the difficulty into the weights by folding a per-channel scale into the preceding LayerNorm, which is free at inference time and moves the problem to where per-column scaling is permitted.</w:t>
      </w:r>
    </w:p>
    <w:p>
      <w:pPr>
        <w:pStyle w:val="Heading1"/>
        <w:spacing w:after="160" w:before="360"/>
      </w:pPr>
      <w:r>
        <w:rPr>
          <w:b/>
          <w:bCs/>
          <w:color w:val="1F3864"/>
          <w:sz w:val="30"/>
          <w:szCs w:val="30"/>
        </w:rPr>
        <w:t xml:space="preserve">8. Outstanding items</w:t>
      </w:r>
    </w:p>
    <w:p>
      <w:pPr>
        <w:spacing w:after="120" w:line="276"/>
      </w:pPr>
      <w:r>
        <w:rPr>
          <w:b/>
          <w:bCs/>
          <w:sz w:val="21"/>
          <w:szCs w:val="21"/>
        </w:rPr>
        <w:t xml:space="preserve">Conventional mapping has not yet been enabled.</w:t>
      </w:r>
    </w:p>
    <w:p>
      <w:pPr>
        <w:spacing w:after="120" w:line="276"/>
      </w:pPr>
      <w:r>
        <w:rPr>
          <w:sz w:val="21"/>
          <w:szCs w:val="21"/>
        </w:rPr>
        <w:t xml:space="preserve">Param.cpp at line 99 still reads:</w:t>
      </w:r>
    </w:p>
    <w:p>
      <w:pPr>
        <w:spacing w:after="100" w:before="60"/>
        <w:ind w:left="360"/>
      </w:pPr>
      <w:r>
        <w:rPr>
          <w:rFonts w:ascii="Courier New" w:cs="Courier New" w:eastAsia="Courier New" w:hAnsi="Courier New"/>
          <w:sz w:val="18"/>
          <w:szCs w:val="18"/>
        </w:rPr>
        <w:t xml:space="preserve">novelMapping = true;   // false: conventional mapping (for swin_t)</w:t>
      </w:r>
    </w:p>
    <w:p>
      <w:pPr>
        <w:spacing w:after="120" w:line="276"/>
      </w:pPr>
      <w:r>
        <w:rPr>
          <w:sz w:val="21"/>
          <w:szCs w:val="21"/>
        </w:rPr>
        <w:t xml:space="preserve">Transformers require conventional mapping. There is no command-line flag for this; it is a source edit, and leaving it unchanged will produce plausible but incorrect hardware estimates. This must be set to false before the C++ estimator is run.</w:t>
      </w:r>
    </w:p>
    <w:p>
      <w:pPr>
        <w:spacing w:after="160"/>
      </w:pPr>
    </w:p>
    <w:p>
      <w:pPr>
        <w:spacing w:after="120" w:line="276"/>
      </w:pPr>
      <w:r>
        <w:rPr>
          <w:sz w:val="21"/>
          <w:szCs w:val="21"/>
        </w:rPr>
        <w:t xml:space="preserve">Remaining work:</w:t>
      </w:r>
    </w:p>
    <w:p>
      <w:pPr>
        <w:pStyle w:val="ListParagraph"/>
        <w:numPr>
          <w:ilvl w:val="0"/>
          <w:numId w:val="2"/>
        </w:numPr>
        <w:spacing w:after="80" w:line="276"/>
      </w:pPr>
      <w:r>
        <w:rPr>
          <w:sz w:val="21"/>
          <w:szCs w:val="21"/>
        </w:rPr>
        <w:t xml:space="preserve">Run the C++ estimator. The invocation is implemented and verified for row-to-trace correspondence, but has not yet been executed.</w:t>
      </w:r>
    </w:p>
    <w:p>
      <w:pPr>
        <w:pStyle w:val="ListParagraph"/>
        <w:numPr>
          <w:ilvl w:val="0"/>
          <w:numId w:val="2"/>
        </w:numPr>
        <w:spacing w:after="80" w:line="276"/>
      </w:pPr>
      <w:r>
        <w:rPr>
          <w:sz w:val="21"/>
          <w:szCs w:val="21"/>
        </w:rPr>
        <w:t xml:space="preserve">Sweep the calibration percentile, and compare against mean-squared-error selection, which removes a hand-tuned constant from the methodology.</w:t>
      </w:r>
    </w:p>
    <w:p>
      <w:pPr>
        <w:pStyle w:val="ListParagraph"/>
        <w:numPr>
          <w:ilvl w:val="0"/>
          <w:numId w:val="2"/>
        </w:numPr>
        <w:spacing w:after="80" w:line="276"/>
      </w:pPr>
      <w:r>
        <w:rPr>
          <w:sz w:val="21"/>
          <w:szCs w:val="21"/>
        </w:rPr>
        <w:t xml:space="preserve">Increase calibration data. Two batches is roughly 2,000 tokens, which is thin for a 99.9th percentile estimate.</w:t>
      </w:r>
    </w:p>
    <w:p>
      <w:pPr>
        <w:pStyle w:val="ListParagraph"/>
        <w:numPr>
          <w:ilvl w:val="0"/>
          <w:numId w:val="2"/>
        </w:numPr>
        <w:spacing w:after="80" w:line="276"/>
      </w:pPr>
      <w:r>
        <w:rPr>
          <w:sz w:val="21"/>
          <w:szCs w:val="21"/>
        </w:rPr>
        <w:t xml:space="preserve">Explore four-bit weights, since eight-bit weights are demonstrably free and lower precision is where the area and energy savings arise.</w:t>
      </w:r>
    </w:p>
    <w:p>
      <w:pPr>
        <w:pStyle w:val="ListParagraph"/>
        <w:numPr>
          <w:ilvl w:val="0"/>
          <w:numId w:val="2"/>
        </w:numPr>
        <w:spacing w:after="80" w:line="276"/>
      </w:pPr>
      <w:r>
        <w:rPr>
          <w:sz w:val="21"/>
          <w:szCs w:val="21"/>
        </w:rPr>
        <w:t xml:space="preserve">Decide and document how the attention matrix products are accounted for: digital offload with an analytical model, dynamic writes, or explicit exclusion.</w:t>
      </w:r>
    </w:p>
    <w:p>
      <w:pPr>
        <w:spacing w:after="160"/>
      </w:pPr>
    </w:p>
    <w:p>
      <w:pPr>
        <w:spacing w:after="120" w:line="276"/>
      </w:pPr>
      <w:r>
        <w:rPr>
          <w:b/>
          <w:bCs/>
          <w:sz w:val="21"/>
          <w:szCs w:val="21"/>
        </w:rPr>
        <w:t xml:space="preserve">A standing constraint on reporting.</w:t>
      </w:r>
    </w:p>
    <w:p>
      <w:pPr>
        <w:spacing w:after="120" w:line="276"/>
      </w:pPr>
      <w:r>
        <w:rPr>
          <w:sz w:val="21"/>
          <w:szCs w:val="21"/>
        </w:rPr>
        <w:t xml:space="preserve">Accuracy figures cover the whole network. The hardware figures the C++ estimator produces cover only the 48 mapped projections, which is 85 million of GPT-2’s 124 million parameters. At a sequence length of 1024 the excluded attention matrix products alone represent roughly 18 per cent of all multiply-accumulate operations. The two sets of numbers describe different objects and must never be presented as a single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2026-08-15T14:29:30.683Z</dcterms:created>
  <dcterms:modified xsi:type="dcterms:W3CDTF">2026-08-15T14:29:30.684Z</dcterms:modified>
</cp:coreProperties>
</file>

<file path=docProps/custom.xml><?xml version="1.0" encoding="utf-8"?>
<Properties xmlns="http://schemas.openxmlformats.org/officeDocument/2006/custom-properties" xmlns:vt="http://schemas.openxmlformats.org/officeDocument/2006/docPropsVTypes"/>
</file>