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8"/>
          <w:sz w:val="44"/>
          <w:szCs w:val="44"/>
        </w:rPr>
        <w:t xml:space="preserve">Software Requirements Specification</w:t>
      </w:r>
    </w:p>
    <w:p>
      <w:pPr>
        <w:spacing w:after="100" w:before="100"/>
        <w:jc w:val="center"/>
      </w:pPr>
      <w:r>
        <w:rPr>
          <w:b/>
          <w:bCs/>
          <w:color w:val="2E75B6"/>
          <w:sz w:val="32"/>
          <w:szCs w:val="32"/>
        </w:rPr>
        <w:t xml:space="preserve">Strategy Module — LEAPS Stock Replacement with Decoupled Cash-Secured Puts</w:t>
      </w:r>
    </w:p>
    <w:p>
      <w:pPr>
        <w:spacing w:after="600" w:before="100"/>
        <w:jc w:val="center"/>
      </w:pPr>
      <w:r>
        <w:rPr>
          <w:i/>
          <w:iCs/>
          <w:color w:val="595959"/>
          <w:sz w:val="24"/>
          <w:szCs w:val="24"/>
        </w:rPr>
        <w:t xml:space="preserve">(Internal codename: leaps-csp-replacement)</w:t>
      </w:r>
    </w:p>
    <w:p>
      <w:pPr>
        <w:spacing w:after="60" w:before="1200"/>
        <w:jc w:val="center"/>
      </w:pPr>
      <w:r>
        <w:rPr>
          <w:color w:val="595959"/>
          <w:sz w:val="24"/>
          <w:szCs w:val="24"/>
        </w:rPr>
        <w:t xml:space="preserve">Stock Screening &amp; Analysis Application</w:t>
      </w:r>
    </w:p>
    <w:p>
      <w:pPr>
        <w:spacing w:after="40" w:before="40"/>
        <w:jc w:val="center"/>
      </w:pPr>
      <w:r>
        <w:rPr>
          <w:color w:val="595959"/>
          <w:sz w:val="22"/>
          <w:szCs w:val="22"/>
        </w:rPr>
        <w:t xml:space="preserve">Document Version 2.0 (Opportunity-Ranking Model)</w:t>
      </w:r>
    </w:p>
    <w:p>
      <w:pPr>
        <w:spacing w:after="40" w:before="40"/>
        <w:jc w:val="center"/>
      </w:pPr>
      <w:r>
        <w:rPr>
          <w:color w:val="595959"/>
          <w:sz w:val="22"/>
          <w:szCs w:val="22"/>
        </w:rPr>
        <w:t xml:space="preserve">Target build platform: Claude Code (Opus 4.7)</w:t>
      </w:r>
    </w:p>
    <w:p>
      <w:pPr>
        <w:spacing w:after="40" w:before="40"/>
        <w:jc w:val="center"/>
      </w:pPr>
      <w:r>
        <w:rPr>
          <w:color w:val="595959"/>
          <w:sz w:val="22"/>
          <w:szCs w:val="22"/>
        </w:rPr>
        <w:t xml:space="preserve">Data provider: Polygon.io</w:t>
      </w:r>
    </w:p>
    <w:p>
      <w:pPr>
        <w:spacing w:after="40" w:before="40"/>
        <w:jc w:val="center"/>
      </w:pPr>
      <w:r>
        <w:rPr>
          <w:color w:val="595959"/>
          <w:sz w:val="22"/>
          <w:szCs w:val="22"/>
        </w:rPr>
        <w:t xml:space="preserve">Author: Shaikh Ali</w:t>
      </w:r>
    </w:p>
    <w:p>
      <w:pPr>
        <w:spacing w:after="40" w:before="40"/>
        <w:jc w:val="center"/>
      </w:pPr>
      <w:r>
        <w:rPr>
          <w:color w:val="595959"/>
          <w:sz w:val="22"/>
          <w:szCs w:val="22"/>
        </w:rPr>
        <w:t xml:space="preserve">Date: 2026-05-25</w:t>
      </w:r>
    </w:p>
    <w:p>
      <w:r>
        <w:br w:type="page"/>
      </w:r>
    </w:p>
    <w:p>
      <w:pPr>
        <w:pStyle w:val="Heading1"/>
        <w:spacing w:after="180" w:before="360"/>
      </w:pPr>
      <w:r>
        <w:rPr>
          <w:b/>
          <w:bCs/>
          <w:color w:val="1F4E78"/>
          <w:sz w:val="36"/>
          <w:szCs w:val="36"/>
        </w:rPr>
        <w:t xml:space="preserve">1. Executive Summary</w:t>
      </w:r>
    </w:p>
    <w:p>
      <w:pPr>
        <w:spacing w:after="60" w:before="60" w:line="300"/>
      </w:pPr>
      <w:r>
        <w:t xml:space="preserve">This SRS defines a new strategy module — LEAPS Stock Replacement with Decoupled Cash-Secured Puts — for the existing Stock Screening &amp; Analysis application. The strategy combines deep ITM long-dated calls (LEAPS) as a capital-efficient substitute for owning shares, with independently selected cash-secured puts (CSPs) on the same or different tickers as an income overlay. The two legs are managed separately, eliminating the structural fragility of Poor Man's Covered Call (PMCC) — specifically, the catastrophic case where a short call breach destroys LEAPS extrinsic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2F8" w:val="clear"/>
            <w:tcMar>
              <w:top w:type="dxa" w:w="160"/>
              <w:left w:type="dxa" w:w="200"/>
              <w:bottom w:type="dxa" w:w="160"/>
              <w:right w:type="dxa" w:w="200"/>
            </w:tcMar>
          </w:tcPr>
          <w:p>
            <w:pPr>
              <w:spacing w:after="80" w:before="40"/>
            </w:pPr>
            <w:r>
              <w:rPr>
                <w:b/>
                <w:bCs/>
                <w:color w:val="2E75B6"/>
                <w:sz w:val="22"/>
                <w:szCs w:val="22"/>
              </w:rPr>
              <w:t xml:space="preserve">Design philosophy — opportunity ranking, not capital management</w:t>
            </w:r>
          </w:p>
          <w:p>
            <w:pPr>
              <w:spacing w:after="60" w:before="60" w:line="300"/>
            </w:pPr>
            <w:r>
              <w:t xml:space="preserve">This tool surfaces and ranks the best opportunities by quality. It does NOT make capital, allocation, or position-sizing decisions. The user evaluates the ranked output against their own capital, risk tolerance, and existing exposure.</w:t>
            </w:r>
          </w:p>
          <w:p>
            <w:pPr>
              <w:spacing w:after="60" w:before="60" w:line="300"/>
            </w:pPr>
            <w:r>
              <w:t xml:space="preserve">The screener never eliminates an otherwise-qualified candidate because of price, contract cost, or capital intensity. A $500 stock's LEAPS is ranked next to a $30 stock's LEAPS purely on opportunity quality. The user decides what they can afford and what fits their account.</w:t>
            </w:r>
          </w:p>
        </w:tc>
      </w:tr>
    </w:tbl>
    <w:p>
      <w:pPr>
        <w:pStyle w:val="Heading2"/>
        <w:spacing w:after="140" w:before="280"/>
      </w:pPr>
      <w:r>
        <w:rPr>
          <w:b/>
          <w:bCs/>
          <w:color w:val="2E75B6"/>
          <w:sz w:val="28"/>
          <w:szCs w:val="28"/>
        </w:rPr>
        <w:t xml:space="preserve">1.1 Strategy Thesis</w:t>
      </w:r>
    </w:p>
    <w:p>
      <w:pPr>
        <w:spacing w:after="60" w:before="60" w:line="300"/>
      </w:pPr>
      <w:r>
        <w:t xml:space="preserve">Buy a deep ITM LEAPS call (delta ≥ 0.75, 12–24 months out) that behaves like leveraged stock ownership. Separately, sell a cash-secured put on a separately qualified ticker that generates income without structural dependency on the LEAPS. The LEAPS captures directional upside; the CSP captures premium. Neither leg can ruin the other.</w:t>
      </w:r>
    </w:p>
    <w:p>
      <w:pPr>
        <w:pStyle w:val="Heading2"/>
        <w:spacing w:after="140" w:before="280"/>
      </w:pPr>
      <w:r>
        <w:rPr>
          <w:b/>
          <w:bCs/>
          <w:color w:val="2E75B6"/>
          <w:sz w:val="28"/>
          <w:szCs w:val="28"/>
        </w:rPr>
        <w:t xml:space="preserve">1.2 Why This Strategy Earns a Module</w:t>
      </w:r>
    </w:p>
    <w:p>
      <w:pPr>
        <w:pStyle w:val="ListParagraph"/>
        <w:numPr>
          <w:ilvl w:val="0"/>
          <w:numId w:val="2"/>
        </w:numPr>
        <w:spacing w:after="40" w:before="40" w:line="280"/>
      </w:pPr>
      <w:r>
        <w:rPr>
          <w:sz w:val="22"/>
          <w:szCs w:val="22"/>
        </w:rPr>
        <w:t xml:space="preserve">Capital efficiency — LEAPS controls 100 shares for ~30–50% of the share cost.</w:t>
      </w:r>
    </w:p>
    <w:p>
      <w:pPr>
        <w:pStyle w:val="ListParagraph"/>
        <w:numPr>
          <w:ilvl w:val="0"/>
          <w:numId w:val="2"/>
        </w:numPr>
        <w:spacing w:after="40" w:before="40" w:line="280"/>
      </w:pPr>
      <w:r>
        <w:rPr>
          <w:sz w:val="22"/>
          <w:szCs w:val="22"/>
        </w:rPr>
        <w:t xml:space="preserve">Decoupled income — CSPs are managed independently, so a runaway move on the LEAPS leg does not force structural decisions on the income leg.</w:t>
      </w:r>
    </w:p>
    <w:p>
      <w:pPr>
        <w:pStyle w:val="ListParagraph"/>
        <w:numPr>
          <w:ilvl w:val="0"/>
          <w:numId w:val="2"/>
        </w:numPr>
        <w:spacing w:after="40" w:before="40" w:line="280"/>
      </w:pPr>
      <w:r>
        <w:rPr>
          <w:sz w:val="22"/>
          <w:szCs w:val="22"/>
        </w:rPr>
        <w:t xml:space="preserve">Diversification by design — the CSP can be on a different ticker, breaking the single-name concentration of a traditional covered call.</w:t>
      </w:r>
    </w:p>
    <w:p>
      <w:pPr>
        <w:pStyle w:val="ListParagraph"/>
        <w:numPr>
          <w:ilvl w:val="0"/>
          <w:numId w:val="2"/>
        </w:numPr>
        <w:spacing w:after="40" w:before="40" w:line="280"/>
      </w:pPr>
      <w:r>
        <w:rPr>
          <w:sz w:val="22"/>
          <w:szCs w:val="22"/>
        </w:rPr>
        <w:t xml:space="preserve">Fits existing infrastructure — reuses screening pipeline (files 01–08), market gate, liquidity gates, and live-data rule.</w:t>
      </w:r>
    </w:p>
    <w:p>
      <w:pPr>
        <w:pStyle w:val="ListParagraph"/>
        <w:numPr>
          <w:ilvl w:val="0"/>
          <w:numId w:val="2"/>
        </w:numPr>
        <w:spacing w:after="40" w:before="40" w:line="280"/>
      </w:pPr>
      <w:r>
        <w:rPr>
          <w:sz w:val="22"/>
          <w:szCs w:val="22"/>
        </w:rPr>
        <w:t xml:space="preserve">Defined max loss per leg — LEAPS max loss = debit paid; CSP max loss = strike × 100 − premium (assignable risk known up front).</w:t>
      </w:r>
    </w:p>
    <w:p>
      <w:pPr>
        <w:pStyle w:val="Heading2"/>
        <w:spacing w:after="140" w:before="280"/>
      </w:pPr>
      <w:r>
        <w:rPr>
          <w:b/>
          <w:bCs/>
          <w:color w:val="2E75B6"/>
          <w:sz w:val="28"/>
          <w:szCs w:val="28"/>
        </w:rPr>
        <w:t xml:space="preserve">1.3 What This Strategy Is NOT</w:t>
      </w:r>
    </w:p>
    <w:p>
      <w:pPr>
        <w:pStyle w:val="ListParagraph"/>
        <w:numPr>
          <w:ilvl w:val="0"/>
          <w:numId w:val="2"/>
        </w:numPr>
        <w:spacing w:after="40" w:before="40" w:line="280"/>
      </w:pPr>
      <w:r>
        <w:rPr>
          <w:sz w:val="22"/>
          <w:szCs w:val="22"/>
        </w:rPr>
        <w:t xml:space="preserve">Not a PMCC. There is no short call written against the LEAPS. The LEAPS upside is uncapped.</w:t>
      </w:r>
    </w:p>
    <w:p>
      <w:pPr>
        <w:pStyle w:val="ListParagraph"/>
        <w:numPr>
          <w:ilvl w:val="0"/>
          <w:numId w:val="2"/>
        </w:numPr>
        <w:spacing w:after="40" w:before="40" w:line="280"/>
      </w:pPr>
      <w:r>
        <w:rPr>
          <w:sz w:val="22"/>
          <w:szCs w:val="22"/>
        </w:rPr>
        <w:t xml:space="preserve">Not a synthetic long stock. There is no short put against the LEAPS at the same strike. The CSP is a separately qualified income trade.</w:t>
      </w:r>
    </w:p>
    <w:p>
      <w:pPr>
        <w:pStyle w:val="ListParagraph"/>
        <w:numPr>
          <w:ilvl w:val="0"/>
          <w:numId w:val="2"/>
        </w:numPr>
        <w:spacing w:after="40" w:before="40" w:line="280"/>
      </w:pPr>
      <w:r>
        <w:rPr>
          <w:sz w:val="22"/>
          <w:szCs w:val="22"/>
        </w:rPr>
        <w:t xml:space="preserve">Not a hedge. The CSP does not protect the LEAPS. Both legs can lose simultaneously in a broad drawdown.</w:t>
      </w:r>
    </w:p>
    <w:p>
      <w:pPr>
        <w:pStyle w:val="Heading2"/>
        <w:spacing w:after="140" w:before="280"/>
      </w:pPr>
      <w:r>
        <w:rPr>
          <w:b/>
          <w:bCs/>
          <w:color w:val="2E75B6"/>
          <w:sz w:val="28"/>
          <w:szCs w:val="28"/>
        </w:rPr>
        <w:t xml:space="preserve">1.4 What This Module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4E5" w:val="clear"/>
            <w:tcMar>
              <w:top w:type="dxa" w:w="160"/>
              <w:left w:type="dxa" w:w="200"/>
              <w:bottom w:type="dxa" w:w="160"/>
              <w:right w:type="dxa" w:w="200"/>
            </w:tcMar>
          </w:tcPr>
          <w:p>
            <w:pPr>
              <w:spacing w:after="80" w:before="40"/>
            </w:pPr>
            <w:r>
              <w:rPr>
                <w:b/>
                <w:bCs/>
                <w:color w:val="BF8F00"/>
                <w:sz w:val="22"/>
                <w:szCs w:val="22"/>
              </w:rPr>
              <w:t xml:space="preserve">Explicitly out of scope</w:t>
            </w:r>
          </w:p>
          <w:p>
            <w:pPr>
              <w:spacing w:after="60" w:before="60" w:line="300"/>
            </w:pPr>
            <w:r>
              <w:t xml:space="preserve">• No slot management. The module does not assign positions to slots.</w:t>
            </w:r>
          </w:p>
          <w:p>
            <w:pPr>
              <w:spacing w:after="60" w:before="60" w:line="300"/>
            </w:pPr>
            <w:r>
              <w:t xml:space="preserve">• No capital allocation. The module does not size positions or split capital across legs.</w:t>
            </w:r>
          </w:p>
          <w:p>
            <w:pPr>
              <w:spacing w:after="60" w:before="60" w:line="300"/>
            </w:pPr>
            <w:r>
              <w:t xml:space="preserve">• No portfolio-level diversification rules. The module does not enforce "max N positions per sector" or similar account-level caps.</w:t>
            </w:r>
          </w:p>
          <w:p>
            <w:pPr>
              <w:spacing w:after="60" w:before="60" w:line="300"/>
            </w:pPr>
            <w:r>
              <w:t xml:space="preserve">• No position sizing recommendation. Output shows premium and collateral required for the user to evaluate; the module does not say "buy X contracts."</w:t>
            </w:r>
          </w:p>
          <w:p>
            <w:pPr>
              <w:spacing w:after="60" w:before="60" w:line="300"/>
            </w:pPr>
            <w:r>
              <w:t xml:space="preserve">• No assumption about account size. The same output is produced regardless of whether the user has $10K or $10M.</w:t>
            </w:r>
          </w:p>
          <w:p>
            <w:pPr>
              <w:spacing w:after="60" w:before="60" w:line="300"/>
            </w:pPr>
            <w:r>
              <w:t xml:space="preserve">These decisions belong to the user reviewing the output. The module's job is to find and rank the best opportunities; the user's job is to decide which ones fit their capital.</w:t>
            </w:r>
          </w:p>
        </w:tc>
      </w:tr>
    </w:tbl>
    <w:p>
      <w:r>
        <w:br w:type="page"/>
      </w:r>
    </w:p>
    <w:p>
      <w:pPr>
        <w:pStyle w:val="Heading1"/>
        <w:spacing w:after="180" w:before="360"/>
      </w:pPr>
      <w:r>
        <w:rPr>
          <w:b/>
          <w:bCs/>
          <w:color w:val="1F4E78"/>
          <w:sz w:val="36"/>
          <w:szCs w:val="36"/>
        </w:rPr>
        <w:t xml:space="preserve">2. Scope and Integration with Existing System</w:t>
      </w:r>
    </w:p>
    <w:p>
      <w:pPr>
        <w:pStyle w:val="Heading2"/>
        <w:spacing w:after="140" w:before="280"/>
      </w:pPr>
      <w:r>
        <w:rPr>
          <w:b/>
          <w:bCs/>
          <w:color w:val="2E75B6"/>
          <w:sz w:val="28"/>
          <w:szCs w:val="28"/>
        </w:rPr>
        <w:t xml:space="preserve">2.1 New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20" w:before="20" w:line="260"/>
            </w:pPr>
            <w:r>
              <w:rPr>
                <w:rFonts w:ascii="Consolas" w:cs="Consolas" w:eastAsia="Consolas" w:hAnsi="Consolas"/>
                <w:sz w:val="20"/>
                <w:szCs w:val="20"/>
              </w:rPr>
              <w:t xml:space="preserve">strategies/leaps-csp-replacement.md          ← strategy playbook (router target)</w:t>
            </w:r>
          </w:p>
          <w:p>
            <w:pPr>
              <w:spacing w:after="20" w:before="20" w:line="260"/>
            </w:pPr>
            <w:r>
              <w:rPr>
                <w:rFonts w:ascii="Consolas" w:cs="Consolas" w:eastAsia="Consolas" w:hAnsi="Consolas"/>
                <w:sz w:val="20"/>
                <w:szCs w:val="20"/>
              </w:rPr>
              <w:t xml:space="preserve">outputs/leaps-csp-watchlist-schema.md        ← ranked opportunity table schema</w:t>
            </w:r>
          </w:p>
          <w:p>
            <w:pPr>
              <w:spacing w:after="20" w:before="20" w:line="260"/>
            </w:pPr>
            <w:r>
              <w:rPr>
                <w:rFonts w:ascii="Consolas" w:cs="Consolas" w:eastAsia="Consolas" w:hAnsi="Consolas"/>
                <w:sz w:val="20"/>
                <w:szCs w:val="20"/>
              </w:rPr>
              <w:t xml:space="preserve">outputs/leaps-csp-dashboard-schema.md        ← per-opportunity validation dashboard</w:t>
            </w:r>
          </w:p>
          <w:p>
            <w:pPr>
              <w:spacing w:after="20" w:before="20" w:line="260"/>
            </w:pPr>
            <w:r>
              <w:rPr>
                <w:rFonts w:ascii="Consolas" w:cs="Consolas" w:eastAsia="Consolas" w:hAnsi="Consolas"/>
                <w:sz w:val="20"/>
                <w:szCs w:val="20"/>
              </w:rPr>
              <w:t xml:space="preserve">references/leaps-csp-worked-example.md       ← reference run on a known ticker</w:t>
            </w:r>
          </w:p>
        </w:tc>
      </w:tr>
    </w:tbl>
    <w:p>
      <w:pPr>
        <w:pStyle w:val="Heading2"/>
        <w:spacing w:after="140" w:before="280"/>
      </w:pPr>
      <w:r>
        <w:rPr>
          <w:b/>
          <w:bCs/>
          <w:color w:val="2E75B6"/>
          <w:sz w:val="28"/>
          <w:szCs w:val="28"/>
        </w:rPr>
        <w:t xml:space="preserve">2.2 Files to Update</w:t>
      </w:r>
    </w:p>
    <w:p>
      <w:pPr>
        <w:pStyle w:val="ListParagraph"/>
        <w:numPr>
          <w:ilvl w:val="0"/>
          <w:numId w:val="2"/>
        </w:numPr>
        <w:spacing w:after="40" w:before="40" w:line="280"/>
      </w:pPr>
      <w:r>
        <w:rPr>
          <w:sz w:val="22"/>
          <w:szCs w:val="22"/>
        </w:rPr>
        <w:t xml:space="preserve">SKILL.md — add routing row for the new strategy.</w:t>
      </w:r>
    </w:p>
    <w:p>
      <w:pPr>
        <w:pStyle w:val="ListParagraph"/>
        <w:numPr>
          <w:ilvl w:val="0"/>
          <w:numId w:val="2"/>
        </w:numPr>
        <w:spacing w:after="40" w:before="40" w:line="280"/>
      </w:pPr>
      <w:r>
        <w:rPr>
          <w:sz w:val="22"/>
          <w:szCs w:val="22"/>
        </w:rPr>
        <w:t xml:space="preserve">screening/strategy-overrides.md — add the leaps-csp section with delta floors, DTE bands, IV requirements.</w:t>
      </w:r>
    </w:p>
    <w:p>
      <w:pPr>
        <w:pStyle w:val="ListParagraph"/>
        <w:numPr>
          <w:ilvl w:val="0"/>
          <w:numId w:val="2"/>
        </w:numPr>
        <w:spacing w:after="40" w:before="40" w:line="280"/>
      </w:pPr>
      <w:r>
        <w:rPr>
          <w:sz w:val="22"/>
          <w:szCs w:val="22"/>
        </w:rPr>
        <w:t xml:space="preserve">screening/07-scoring-long-premium.md — extend with LEAPS-specific weights (extrinsic %, delta band, IVR floor).</w:t>
      </w:r>
    </w:p>
    <w:p>
      <w:pPr>
        <w:pStyle w:val="ListParagraph"/>
        <w:numPr>
          <w:ilvl w:val="0"/>
          <w:numId w:val="2"/>
        </w:numPr>
        <w:spacing w:after="40" w:before="40" w:line="280"/>
      </w:pPr>
      <w:r>
        <w:rPr>
          <w:sz w:val="22"/>
          <w:szCs w:val="22"/>
        </w:rPr>
        <w:t xml:space="preserve">changelog/CHANGELOG.md — bump version, log the new strategy.</w:t>
      </w:r>
    </w:p>
    <w:p>
      <w:pPr>
        <w:pStyle w:val="Heading2"/>
        <w:spacing w:after="140" w:before="280"/>
      </w:pPr>
      <w:r>
        <w:rPr>
          <w:b/>
          <w:bCs/>
          <w:color w:val="2E75B6"/>
          <w:sz w:val="28"/>
          <w:szCs w:val="28"/>
        </w:rPr>
        <w:t xml:space="preserve">2.3 Router Trigger Phrases</w:t>
      </w:r>
    </w:p>
    <w:p>
      <w:pPr>
        <w:spacing w:after="60" w:before="60" w:line="300"/>
      </w:pPr>
      <w:r>
        <w:t xml:space="preserve">Add the following row to the routing table in SKILL.md. Place it immediately after the vertical-spread row and before the tastytrade-strangle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User intent / trigger phrases</w:t>
            </w:r>
          </w:p>
        </w:tc>
        <w:tc>
          <w:tcPr>
            <w:tcW w:type="dxa" w:w="2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Strategy playbook</w:t>
            </w:r>
          </w:p>
        </w:tc>
      </w:tr>
      <w:tr>
        <w:tc>
          <w:tcPr>
            <w:tcW w:type="dxa" w:w="6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"LEAPS stock replacement", "LEAPS + CSP", "decoupled PMCC", "replace shares with LEAPS", "long LEAPS with income overlay", "stock replacement income", "leveraged long with separate puts", "buy LEAPS sell puts elsewhere"</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strategies/leaps-csp-replacement.md</w:t>
            </w:r>
          </w:p>
        </w:tc>
      </w:tr>
    </w:tbl>
    <w:p>
      <w:pPr>
        <w:spacing w:after="120" w:before="120"/>
      </w:pPr>
      <w:r>
        <w:t xml:space="preserve"/>
      </w:r>
    </w:p>
    <w:p>
      <w:pPr>
        <w:pStyle w:val="Heading2"/>
        <w:spacing w:after="140" w:before="280"/>
      </w:pPr>
      <w:r>
        <w:rPr>
          <w:b/>
          <w:bCs/>
          <w:color w:val="2E75B6"/>
          <w:sz w:val="28"/>
          <w:szCs w:val="28"/>
        </w:rPr>
        <w:t xml:space="preserve">2.4 Disambiguation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4E5" w:val="clear"/>
            <w:tcMar>
              <w:top w:type="dxa" w:w="160"/>
              <w:left w:type="dxa" w:w="200"/>
              <w:bottom w:type="dxa" w:w="160"/>
              <w:right w:type="dxa" w:w="200"/>
            </w:tcMar>
          </w:tcPr>
          <w:p>
            <w:pPr>
              <w:spacing w:after="80" w:before="40"/>
            </w:pPr>
            <w:r>
              <w:rPr>
                <w:b/>
                <w:bCs/>
                <w:color w:val="BF8F00"/>
                <w:sz w:val="22"/>
                <w:szCs w:val="22"/>
              </w:rPr>
              <w:t xml:space="preserve">Important routing distinctions</w:t>
            </w:r>
          </w:p>
          <w:p>
            <w:pPr>
              <w:spacing w:after="60" w:before="60" w:line="300"/>
            </w:pPr>
            <w:r>
              <w:t xml:space="preserve">PMCC requests ("poor man's covered call", "PMCC", "LEAPS with covered call") must continue to route to advanced-options.md — those are structurally different (short call against LEAPS).</w:t>
            </w:r>
          </w:p>
          <w:p>
            <w:pPr>
              <w:spacing w:after="60" w:before="60" w:line="300"/>
            </w:pPr>
            <w:r>
              <w:t xml:space="preserve">Single-leg deep ITM call without CSP overlay continues to route to advanced-options.md (stock replacement variant there).</w:t>
            </w:r>
          </w:p>
          <w:p>
            <w:pPr>
              <w:spacing w:after="60" w:before="60" w:line="300"/>
            </w:pPr>
            <w:r>
              <w:t xml:space="preserve">Only requests that explicitly want both a long LEAPS AND a separately-selected CSP route here. If ambiguous, ask one clarifying question.</w:t>
            </w:r>
          </w:p>
        </w:tc>
      </w:tr>
    </w:tbl>
    <w:p>
      <w:pPr>
        <w:pStyle w:val="Heading2"/>
        <w:spacing w:after="140" w:before="280"/>
      </w:pPr>
      <w:r>
        <w:rPr>
          <w:b/>
          <w:bCs/>
          <w:color w:val="2E75B6"/>
          <w:sz w:val="28"/>
          <w:szCs w:val="28"/>
        </w:rPr>
        <w:t xml:space="preserve">2.5 Data Source</w:t>
      </w:r>
    </w:p>
    <w:p>
      <w:pPr>
        <w:spacing w:after="60" w:before="60" w:line="300"/>
      </w:pPr>
      <w:r>
        <w:t xml:space="preserve">All market data is sourced from Polygon.io via the existing data layer. The strategy requires:</w:t>
      </w:r>
    </w:p>
    <w:p>
      <w:pPr>
        <w:pStyle w:val="ListParagraph"/>
        <w:numPr>
          <w:ilvl w:val="0"/>
          <w:numId w:val="2"/>
        </w:numPr>
        <w:spacing w:after="40" w:before="40" w:line="280"/>
      </w:pPr>
      <w:r>
        <w:rPr>
          <w:sz w:val="22"/>
          <w:szCs w:val="22"/>
        </w:rPr>
        <w:t xml:space="preserve">Daily OHLC bars (used for: 50d/200d MAs, ATR, gap detection, history for IVR)</w:t>
      </w:r>
    </w:p>
    <w:p>
      <w:pPr>
        <w:pStyle w:val="ListParagraph"/>
        <w:numPr>
          <w:ilvl w:val="0"/>
          <w:numId w:val="2"/>
        </w:numPr>
        <w:spacing w:after="40" w:before="40" w:line="280"/>
      </w:pPr>
      <w:r>
        <w:rPr>
          <w:sz w:val="22"/>
          <w:szCs w:val="22"/>
        </w:rPr>
        <w:t xml:space="preserve">Snapshot quote (current price, day change)</w:t>
      </w:r>
    </w:p>
    <w:p>
      <w:pPr>
        <w:pStyle w:val="ListParagraph"/>
        <w:numPr>
          <w:ilvl w:val="0"/>
          <w:numId w:val="2"/>
        </w:numPr>
        <w:spacing w:after="40" w:before="40" w:line="280"/>
      </w:pPr>
      <w:r>
        <w:rPr>
          <w:sz w:val="22"/>
          <w:szCs w:val="22"/>
        </w:rPr>
        <w:t xml:space="preserve">Options chain — full chain with greeks, IV, OI, volume, bid/ask for both leg types</w:t>
      </w:r>
    </w:p>
    <w:p>
      <w:pPr>
        <w:pStyle w:val="ListParagraph"/>
        <w:numPr>
          <w:ilvl w:val="0"/>
          <w:numId w:val="2"/>
        </w:numPr>
        <w:spacing w:after="40" w:before="40" w:line="280"/>
      </w:pPr>
      <w:r>
        <w:rPr>
          <w:sz w:val="22"/>
          <w:szCs w:val="22"/>
        </w:rPr>
        <w:t xml:space="preserve">Reference data — earnings calendar, ex-dividend dates, sector classification, market cap, float, short interest</w:t>
      </w:r>
    </w:p>
    <w:p>
      <w:pPr>
        <w:pStyle w:val="ListParagraph"/>
        <w:numPr>
          <w:ilvl w:val="0"/>
          <w:numId w:val="2"/>
        </w:numPr>
        <w:spacing w:after="40" w:before="40" w:line="280"/>
      </w:pPr>
      <w:r>
        <w:rPr>
          <w:sz w:val="22"/>
          <w:szCs w:val="22"/>
        </w:rPr>
        <w:t xml:space="preserve">Aggregates for IV — 252-day implied volatility history to compute IV Rank</w:t>
      </w:r>
    </w:p>
    <w:p>
      <w:r>
        <w:br w:type="page"/>
      </w:r>
    </w:p>
    <w:p>
      <w:pPr>
        <w:pStyle w:val="Heading1"/>
        <w:spacing w:after="180" w:before="360"/>
      </w:pPr>
      <w:r>
        <w:rPr>
          <w:b/>
          <w:bCs/>
          <w:color w:val="1F4E78"/>
          <w:sz w:val="36"/>
          <w:szCs w:val="36"/>
        </w:rPr>
        <w:t xml:space="preserve">3. Strategy Mechanics</w:t>
      </w:r>
    </w:p>
    <w:p>
      <w:pPr>
        <w:pStyle w:val="Heading2"/>
        <w:spacing w:after="140" w:before="280"/>
      </w:pPr>
      <w:r>
        <w:rPr>
          <w:b/>
          <w:bCs/>
          <w:color w:val="2E75B6"/>
          <w:sz w:val="28"/>
          <w:szCs w:val="28"/>
        </w:rPr>
        <w:t xml:space="preserve">3.1 Opportunity Structure</w:t>
      </w:r>
    </w:p>
    <w:p>
      <w:pPr>
        <w:spacing w:after="60" w:before="60" w:line="300"/>
      </w:pPr>
      <w:r>
        <w:t xml:space="preserve">Each ranked opportunity in the output consists of two independently qualified positions. The module presents each opportunity with full data on both legs so the user can evaluate them together or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Leg</w:t>
            </w:r>
          </w:p>
        </w:tc>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Instrument</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Purpose</w:t>
            </w:r>
          </w:p>
        </w:tc>
        <w:tc>
          <w:tcPr>
            <w:tcW w:type="dxa" w:w="2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Failure mode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LEAPS Call (Leg A)</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Long deep ITM call, 12–24 months to expiry, delta 0.70–0.90 (target 0.75–0.85)</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Capital-efficient leveraged long exposure</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Underlying drops or IV crushes; max loss = debit paid</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Cash-Secured Put (Leg B)</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Short OTM put, 25–50 DTE (target 30–45), delta −0.30 to −0.15</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Premium income, independent of Leg A</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Assignment at strike; max loss = (strike × 100) − premium</w:t>
            </w:r>
          </w:p>
        </w:tc>
      </w:tr>
    </w:tbl>
    <w:p>
      <w:pPr>
        <w:spacing w:after="120" w:before="120"/>
      </w:pPr>
      <w:r>
        <w:t xml:space="preserve"/>
      </w:r>
    </w:p>
    <w:p>
      <w:pPr>
        <w:pStyle w:val="Heading2"/>
        <w:spacing w:after="140" w:before="280"/>
      </w:pPr>
      <w:r>
        <w:rPr>
          <w:b/>
          <w:bCs/>
          <w:color w:val="2E75B6"/>
          <w:sz w:val="28"/>
          <w:szCs w:val="28"/>
        </w:rPr>
        <w:t xml:space="preserve">3.2 Pairing Modes</w:t>
      </w:r>
    </w:p>
    <w:p>
      <w:pPr>
        <w:spacing w:after="60" w:before="60" w:line="300"/>
      </w:pPr>
      <w:r>
        <w:t xml:space="preserve">The CSP can be written on the same underlying as the LEAPS or on a different one. The screener evaluates both modes for every qualifying LEAPS candidate and presents whichever ranks higher. Both modes can also be shown side-by-side in the dashboard if the user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Mode</w:t>
            </w:r>
          </w:p>
        </w:tc>
        <w:tc>
          <w:tcPr>
            <w:tcW w:type="dxa" w:w="4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When higher-ranked</w:t>
            </w:r>
          </w:p>
        </w:tc>
        <w:tc>
          <w:tcPr>
            <w:tcW w:type="dxa" w:w="3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Risk implication</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Same ticker</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When CSP on the same name scores higher than any CSP elsewhere</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Concentration — both legs lose on a single-name crash</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Different ticker</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When a better CSP setup exists on a different ticker (higher IVR, better delta, cleaner chart)</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Two underlyings to track; CSP failure does not affect LEAPS thesis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2F8" w:val="clear"/>
            <w:tcMar>
              <w:top w:type="dxa" w:w="160"/>
              <w:left w:type="dxa" w:w="200"/>
              <w:bottom w:type="dxa" w:w="160"/>
              <w:right w:type="dxa" w:w="200"/>
            </w:tcMar>
          </w:tcPr>
          <w:p>
            <w:pPr>
              <w:spacing w:after="80" w:before="40"/>
            </w:pPr>
            <w:r>
              <w:rPr>
                <w:b/>
                <w:bCs/>
                <w:color w:val="2E75B6"/>
                <w:sz w:val="22"/>
                <w:szCs w:val="22"/>
              </w:rPr>
              <w:t xml:space="preserve">Pairing rule</w:t>
            </w:r>
          </w:p>
          <w:p>
            <w:pPr>
              <w:spacing w:after="40" w:before="40" w:line="280"/>
            </w:pPr>
            <w:r>
              <w:rPr>
                <w:sz w:val="22"/>
                <w:szCs w:val="22"/>
              </w:rPr>
              <w:t xml:space="preserve">For each qualifying LEAPS, the screener identifies the top-N (default 5) CSP candidates across the entire universe and the same-ticker CSP if one qualifies. The pair with the highest combined score is the primary recommendation; the next two pairs are surfaced as alternatives in the dashboard.</w:t>
            </w:r>
          </w:p>
        </w:tc>
      </w:tr>
    </w:tbl>
    <w:p>
      <w:pPr>
        <w:pStyle w:val="Heading2"/>
        <w:spacing w:after="140" w:before="280"/>
      </w:pPr>
      <w:r>
        <w:rPr>
          <w:b/>
          <w:bCs/>
          <w:color w:val="2E75B6"/>
          <w:sz w:val="28"/>
          <w:szCs w:val="28"/>
        </w:rPr>
        <w:t xml:space="preserve">3.3 Opportunity Lifecycle</w:t>
      </w:r>
    </w:p>
    <w:p>
      <w:pPr>
        <w:pStyle w:val="Heading3"/>
        <w:spacing w:after="100" w:before="200"/>
      </w:pPr>
      <w:r>
        <w:rPr>
          <w:b/>
          <w:bCs/>
          <w:color w:val="1F4E78"/>
          <w:sz w:val="24"/>
          <w:szCs w:val="24"/>
        </w:rPr>
        <w:t xml:space="preserve">3.3.1 Discovery (Screening Run)</w:t>
      </w:r>
    </w:p>
    <w:p>
      <w:pPr>
        <w:pStyle w:val="ListParagraph"/>
        <w:numPr>
          <w:ilvl w:val="0"/>
          <w:numId w:val="3"/>
        </w:numPr>
        <w:spacing w:after="40" w:before="40" w:line="280"/>
      </w:pPr>
      <w:r>
        <w:rPr>
          <w:sz w:val="22"/>
          <w:szCs w:val="22"/>
        </w:rPr>
        <w:t xml:space="preserve">Run market gate. If FAIL, no new opportunities are surfaced; report state and stop.</w:t>
      </w:r>
    </w:p>
    <w:p>
      <w:pPr>
        <w:pStyle w:val="ListParagraph"/>
        <w:numPr>
          <w:ilvl w:val="0"/>
          <w:numId w:val="3"/>
        </w:numPr>
        <w:spacing w:after="40" w:before="40" w:line="280"/>
      </w:pPr>
      <w:r>
        <w:rPr>
          <w:sz w:val="22"/>
          <w:szCs w:val="22"/>
        </w:rPr>
        <w:t xml:space="preserve">Run universe filters (file 01) on stock universe.</w:t>
      </w:r>
    </w:p>
    <w:p>
      <w:pPr>
        <w:pStyle w:val="ListParagraph"/>
        <w:numPr>
          <w:ilvl w:val="0"/>
          <w:numId w:val="3"/>
        </w:numPr>
        <w:spacing w:after="40" w:before="40" w:line="280"/>
      </w:pPr>
      <w:r>
        <w:rPr>
          <w:sz w:val="22"/>
          <w:szCs w:val="22"/>
        </w:rPr>
        <w:t xml:space="preserve">Apply stock hard fails (file 02) — earnings within 14 days, below 200d MA, recent M&amp;A, etc.</w:t>
      </w:r>
    </w:p>
    <w:p>
      <w:pPr>
        <w:pStyle w:val="ListParagraph"/>
        <w:numPr>
          <w:ilvl w:val="0"/>
          <w:numId w:val="3"/>
        </w:numPr>
        <w:spacing w:after="40" w:before="40" w:line="280"/>
      </w:pPr>
      <w:r>
        <w:rPr>
          <w:sz w:val="22"/>
          <w:szCs w:val="22"/>
        </w:rPr>
        <w:t xml:space="preserve">For each surviving stock, identify the LEAPS candidate (best contract per delta/DTE/liquidity rules).</w:t>
      </w:r>
    </w:p>
    <w:p>
      <w:pPr>
        <w:pStyle w:val="ListParagraph"/>
        <w:numPr>
          <w:ilvl w:val="0"/>
          <w:numId w:val="3"/>
        </w:numPr>
        <w:spacing w:after="40" w:before="40" w:line="280"/>
      </w:pPr>
      <w:r>
        <w:rPr>
          <w:sz w:val="22"/>
          <w:szCs w:val="22"/>
        </w:rPr>
        <w:t xml:space="preserve">Apply trade hard fails (file 04) on the LEAPS contract — bid/ask spread, OI, volume, extrinsic value, IV state.</w:t>
      </w:r>
    </w:p>
    <w:p>
      <w:pPr>
        <w:pStyle w:val="ListParagraph"/>
        <w:numPr>
          <w:ilvl w:val="0"/>
          <w:numId w:val="3"/>
        </w:numPr>
        <w:spacing w:after="40" w:before="40" w:line="280"/>
      </w:pPr>
      <w:r>
        <w:rPr>
          <w:sz w:val="22"/>
          <w:szCs w:val="22"/>
        </w:rPr>
        <w:t xml:space="preserve">Score surviving LEAPS candidates via the long-premium rubric (file 07) with LEAPS-specific weights from section 5.1.</w:t>
      </w:r>
    </w:p>
    <w:p>
      <w:pPr>
        <w:pStyle w:val="ListParagraph"/>
        <w:numPr>
          <w:ilvl w:val="0"/>
          <w:numId w:val="3"/>
        </w:numPr>
        <w:spacing w:after="40" w:before="40" w:line="280"/>
      </w:pPr>
      <w:r>
        <w:rPr>
          <w:sz w:val="22"/>
          <w:szCs w:val="22"/>
        </w:rPr>
        <w:t xml:space="preserve">Independently, identify the best CSP contract universe-wide. Score CSP candidates via the short-premium rubric (file 06).</w:t>
      </w:r>
    </w:p>
    <w:p>
      <w:pPr>
        <w:pStyle w:val="ListParagraph"/>
        <w:numPr>
          <w:ilvl w:val="0"/>
          <w:numId w:val="3"/>
        </w:numPr>
        <w:spacing w:after="40" w:before="40" w:line="280"/>
      </w:pPr>
      <w:r>
        <w:rPr>
          <w:sz w:val="22"/>
          <w:szCs w:val="22"/>
        </w:rPr>
        <w:t xml:space="preserve">Pair: for each qualifying LEAPS, evaluate same-ticker CSP and top cross-ticker CSPs; emit the highest combined-score pair plus alternatives.</w:t>
      </w:r>
    </w:p>
    <w:p>
      <w:pPr>
        <w:pStyle w:val="ListParagraph"/>
        <w:numPr>
          <w:ilvl w:val="0"/>
          <w:numId w:val="3"/>
        </w:numPr>
        <w:spacing w:after="40" w:before="40" w:line="280"/>
      </w:pPr>
      <w:r>
        <w:rPr>
          <w:sz w:val="22"/>
          <w:szCs w:val="22"/>
        </w:rPr>
        <w:t xml:space="preserve">Rank all opportunities by combined score, descending. No truncation by capital, slot, or count — every qualifying opportunity is shown.</w:t>
      </w:r>
    </w:p>
    <w:p>
      <w:pPr>
        <w:pStyle w:val="ListParagraph"/>
        <w:numPr>
          <w:ilvl w:val="0"/>
          <w:numId w:val="3"/>
        </w:numPr>
        <w:spacing w:after="40" w:before="40" w:line="280"/>
      </w:pPr>
      <w:r>
        <w:rPr>
          <w:sz w:val="22"/>
          <w:szCs w:val="22"/>
        </w:rPr>
        <w:t xml:space="preserve">Generate output: ranked opportunity table + per-opportunity validation dashboard.</w:t>
      </w:r>
    </w:p>
    <w:p>
      <w:pPr>
        <w:pStyle w:val="Heading3"/>
        <w:spacing w:after="100" w:before="200"/>
      </w:pPr>
      <w:r>
        <w:rPr>
          <w:b/>
          <w:bCs/>
          <w:color w:val="1F4E78"/>
          <w:sz w:val="24"/>
          <w:szCs w:val="24"/>
        </w:rPr>
        <w:t xml:space="preserve">3.3.2 Monitoring (Post-Entry, User-Initiated)</w:t>
      </w:r>
    </w:p>
    <w:p>
      <w:pPr>
        <w:spacing w:after="60" w:before="60" w:line="300"/>
      </w:pPr>
      <w:r>
        <w:t xml:space="preserve">Monitoring is opt-in. If the user marks an opportunity as "opened," the dashboard re-validates on subsequent runs:</w:t>
      </w:r>
    </w:p>
    <w:p>
      <w:pPr>
        <w:pStyle w:val="ListParagraph"/>
        <w:numPr>
          <w:ilvl w:val="0"/>
          <w:numId w:val="2"/>
        </w:numPr>
        <w:spacing w:after="40" w:before="40" w:line="280"/>
      </w:pPr>
      <w:r>
        <w:rPr>
          <w:sz w:val="22"/>
          <w:szCs w:val="22"/>
        </w:rPr>
        <w:t xml:space="preserve">LEAPS leg: still in delta band, still acceptable extrinsic %, IV not collapsed below floor.</w:t>
      </w:r>
    </w:p>
    <w:p>
      <w:pPr>
        <w:pStyle w:val="ListParagraph"/>
        <w:numPr>
          <w:ilvl w:val="0"/>
          <w:numId w:val="2"/>
        </w:numPr>
        <w:spacing w:after="40" w:before="40" w:line="280"/>
      </w:pPr>
      <w:r>
        <w:rPr>
          <w:sz w:val="22"/>
          <w:szCs w:val="22"/>
        </w:rPr>
        <w:t xml:space="preserve">CSP leg: not breached, not within 7 DTE without a plan.</w:t>
      </w:r>
    </w:p>
    <w:p>
      <w:pPr>
        <w:pStyle w:val="ListParagraph"/>
        <w:numPr>
          <w:ilvl w:val="0"/>
          <w:numId w:val="2"/>
        </w:numPr>
        <w:spacing w:after="40" w:before="40" w:line="280"/>
      </w:pPr>
      <w:r>
        <w:rPr>
          <w:sz w:val="22"/>
          <w:szCs w:val="22"/>
        </w:rPr>
        <w:t xml:space="preserve">Both legs: any catastrophe-rule conditions triggered (section 7.3).</w:t>
      </w:r>
    </w:p>
    <w:p>
      <w:pPr>
        <w:pStyle w:val="Heading3"/>
        <w:spacing w:after="100" w:before="200"/>
      </w:pPr>
      <w:r>
        <w:rPr>
          <w:b/>
          <w:bCs/>
          <w:color w:val="1F4E78"/>
          <w:sz w:val="24"/>
          <w:szCs w:val="24"/>
        </w:rPr>
        <w:t xml:space="preserve">3.3.3 Exit</w:t>
      </w:r>
    </w:p>
    <w:p>
      <w:pPr>
        <w:spacing w:after="60" w:before="60" w:line="300"/>
      </w:pPr>
      <w:r>
        <w:t xml:space="preserve">Exit guidance is generated per opportunity per section 7. The user decides whether to act. The module does not auto-close positions.</w:t>
      </w:r>
    </w:p>
    <w:p>
      <w:r>
        <w:br w:type="page"/>
      </w:r>
    </w:p>
    <w:p>
      <w:pPr>
        <w:pStyle w:val="Heading1"/>
        <w:spacing w:after="180" w:before="360"/>
      </w:pPr>
      <w:r>
        <w:rPr>
          <w:b/>
          <w:bCs/>
          <w:color w:val="1F4E78"/>
          <w:sz w:val="36"/>
          <w:szCs w:val="36"/>
        </w:rPr>
        <w:t xml:space="preserve">4. Screening Pipeline Integration</w:t>
      </w:r>
    </w:p>
    <w:p>
      <w:pPr>
        <w:spacing w:after="60" w:before="60" w:line="300"/>
      </w:pPr>
      <w:r>
        <w:t xml:space="preserve">This strategy uses the existing screening pipeline (files 01–08 under screening/). The strategy contributes specific deltas via screening/strategy-overrides.md and a new strategy file. Hard fails always precede scoring.</w:t>
      </w:r>
    </w:p>
    <w:p>
      <w:pPr>
        <w:pStyle w:val="Heading2"/>
        <w:spacing w:after="140" w:before="280"/>
      </w:pPr>
      <w:r>
        <w:rPr>
          <w:b/>
          <w:bCs/>
          <w:color w:val="2E75B6"/>
          <w:sz w:val="28"/>
          <w:szCs w:val="28"/>
        </w:rPr>
        <w:t xml:space="preserve">4.1 File 01 — Stock Universe Filters</w:t>
      </w:r>
    </w:p>
    <w:p>
      <w:pPr>
        <w:spacing w:after="60" w:before="60" w:line="300"/>
      </w:pPr>
      <w:r>
        <w:t xml:space="preserve">Inherits the standard universe filter with the following strategy-specific tightening. Note: these filters are for QUALITY of opportunity, not capital constraints. A stock priced at $800 is still in-bounds if it meets the quality criteria — whether the user can afford it is the user's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700"/>
        <w:gridCol w:w="3860"/>
      </w:tblGrid>
      <w:tr>
        <w:trPr>
          <w:tblHeader/>
        </w:trPr>
        <w:tc>
          <w:tcPr>
            <w:tcW w:type="dxa" w:w="15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Filter</w:t>
            </w:r>
          </w:p>
        </w:tc>
        <w:tc>
          <w:tcPr>
            <w:tcW w:type="dxa" w:w="13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Default</w:t>
            </w:r>
          </w:p>
        </w:tc>
        <w:tc>
          <w:tcPr>
            <w:tcW w:type="dxa" w:w="27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LEAPS-CSP override</w:t>
            </w:r>
          </w:p>
        </w:tc>
        <w:tc>
          <w:tcPr>
            <w:tcW w:type="dxa" w:w="38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Rationale</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Price band</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Strategy-specific</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 $10 (no upper limit)</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Below $10, LEAPS extrinsic % is structurally too high regardless of stock quality. No upper limit — let the user decide affordability.</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Average daily volume</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 1M shares</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 2M shares</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Need both stock liquidity AND options liquidity on long-dated contracts</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Market cap</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 $2B</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 $10B</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Long-dated options require established names; small/mid caps have unreliable LEAPS chains</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Options chain depth</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Standard</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Must have 12+ month chain with ≥ 5 strikes within ±20% of spot</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LEAPS-specific structural requirement</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Sector</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All allowed</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Excludes biotech, leveraged ETFs, SPACs, recent IPOs (&lt;2 years)</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Binary risk and chain instability — not a capital issue</w:t>
            </w:r>
          </w:p>
        </w:tc>
      </w:tr>
    </w:tbl>
    <w:p>
      <w:pPr>
        <w:spacing w:after="120" w:before="120"/>
      </w:pPr>
      <w:r>
        <w:t xml:space="preserve"/>
      </w:r>
    </w:p>
    <w:p>
      <w:pPr>
        <w:pStyle w:val="Heading2"/>
        <w:spacing w:after="140" w:before="280"/>
      </w:pPr>
      <w:r>
        <w:rPr>
          <w:b/>
          <w:bCs/>
          <w:color w:val="2E75B6"/>
          <w:sz w:val="28"/>
          <w:szCs w:val="28"/>
        </w:rPr>
        <w:t xml:space="preserve">4.2 File 02 — Stock Hard Fails</w:t>
      </w:r>
    </w:p>
    <w:p>
      <w:pPr>
        <w:spacing w:after="60" w:before="60" w:line="300"/>
      </w:pPr>
      <w:r>
        <w:t xml:space="preserve">All existing hard fails apply. Strategy-specific additions:</w:t>
      </w:r>
    </w:p>
    <w:p>
      <w:pPr>
        <w:pStyle w:val="ListParagraph"/>
        <w:numPr>
          <w:ilvl w:val="0"/>
          <w:numId w:val="2"/>
        </w:numPr>
        <w:spacing w:after="40" w:before="40" w:line="280"/>
      </w:pPr>
      <w:r>
        <w:rPr>
          <w:sz w:val="22"/>
          <w:szCs w:val="22"/>
        </w:rPr>
        <w:t xml:space="preserve">Earnings within 14 days of LEAPS entry → reject for LEAPS leg. (CSP leg uses the standard 14-day earnings gate.)</w:t>
      </w:r>
    </w:p>
    <w:p>
      <w:pPr>
        <w:pStyle w:val="ListParagraph"/>
        <w:numPr>
          <w:ilvl w:val="0"/>
          <w:numId w:val="2"/>
        </w:numPr>
        <w:spacing w:after="40" w:before="40" w:line="280"/>
      </w:pPr>
      <w:r>
        <w:rPr>
          <w:sz w:val="22"/>
          <w:szCs w:val="22"/>
        </w:rPr>
        <w:t xml:space="preserve">Stock below 200-day MA AND below 50-day MA (death cross territory) → reject.</w:t>
      </w:r>
    </w:p>
    <w:p>
      <w:pPr>
        <w:pStyle w:val="ListParagraph"/>
        <w:numPr>
          <w:ilvl w:val="0"/>
          <w:numId w:val="2"/>
        </w:numPr>
        <w:spacing w:after="40" w:before="40" w:line="280"/>
      </w:pPr>
      <w:r>
        <w:rPr>
          <w:sz w:val="22"/>
          <w:szCs w:val="22"/>
        </w:rPr>
        <w:t xml:space="preserve">Stock has dropped &gt;15% in the last 5 trading days → reject (catching falling knife).</w:t>
      </w:r>
    </w:p>
    <w:p>
      <w:pPr>
        <w:pStyle w:val="ListParagraph"/>
        <w:numPr>
          <w:ilvl w:val="0"/>
          <w:numId w:val="2"/>
        </w:numPr>
        <w:spacing w:after="40" w:before="40" w:line="280"/>
      </w:pPr>
      <w:r>
        <w:rPr>
          <w:sz w:val="22"/>
          <w:szCs w:val="22"/>
        </w:rPr>
        <w:t xml:space="preserve">Pending M&amp;A, restructuring announcement, or going-private rumor → reject.</w:t>
      </w:r>
    </w:p>
    <w:p>
      <w:pPr>
        <w:pStyle w:val="ListParagraph"/>
        <w:numPr>
          <w:ilvl w:val="0"/>
          <w:numId w:val="2"/>
        </w:numPr>
        <w:spacing w:after="40" w:before="40" w:line="280"/>
      </w:pPr>
      <w:r>
        <w:rPr>
          <w:sz w:val="22"/>
          <w:szCs w:val="22"/>
        </w:rPr>
        <w:t xml:space="preserve">Short float &gt; 20% → reject for LEAPS (squeeze risk on the wrong side).</w:t>
      </w:r>
    </w:p>
    <w:p>
      <w:pPr>
        <w:pStyle w:val="ListParagraph"/>
        <w:numPr>
          <w:ilvl w:val="0"/>
          <w:numId w:val="2"/>
        </w:numPr>
        <w:spacing w:after="40" w:before="40" w:line="280"/>
      </w:pPr>
      <w:r>
        <w:rPr>
          <w:sz w:val="22"/>
          <w:szCs w:val="22"/>
        </w:rPr>
        <w:t xml:space="preserve">IV Rank &gt; 80 on the underlying → reject for LEAPS entry (IV crush risk too high). NOTE: high IVR is good for CSPs, so this gates Leg A only.</w:t>
      </w:r>
    </w:p>
    <w:p>
      <w:pPr>
        <w:pStyle w:val="Heading2"/>
        <w:spacing w:after="140" w:before="280"/>
      </w:pPr>
      <w:r>
        <w:rPr>
          <w:b/>
          <w:bCs/>
          <w:color w:val="2E75B6"/>
          <w:sz w:val="28"/>
          <w:szCs w:val="28"/>
        </w:rPr>
        <w:t xml:space="preserve">4.3 File 04 — Trade Hard Fails</w:t>
      </w:r>
    </w:p>
    <w:p>
      <w:pPr>
        <w:pStyle w:val="Heading3"/>
        <w:spacing w:after="100" w:before="200"/>
      </w:pPr>
      <w:r>
        <w:rPr>
          <w:b/>
          <w:bCs/>
          <w:color w:val="1F4E78"/>
          <w:sz w:val="24"/>
          <w:szCs w:val="24"/>
        </w:rPr>
        <w:t xml:space="preserve">4.3.1 LEAPS Contract Hard Fails</w:t>
      </w:r>
    </w:p>
    <w:p>
      <w:pPr>
        <w:pStyle w:val="ListParagraph"/>
        <w:numPr>
          <w:ilvl w:val="0"/>
          <w:numId w:val="2"/>
        </w:numPr>
        <w:spacing w:after="40" w:before="40" w:line="280"/>
      </w:pPr>
      <w:r>
        <w:rPr>
          <w:sz w:val="22"/>
          <w:szCs w:val="22"/>
        </w:rPr>
        <w:t xml:space="preserve">Delta &lt; 0.70 or delta &gt; 0.90 → reject (band: 0.70–0.90, target 0.75–0.85).</w:t>
      </w:r>
    </w:p>
    <w:p>
      <w:pPr>
        <w:pStyle w:val="ListParagraph"/>
        <w:numPr>
          <w:ilvl w:val="0"/>
          <w:numId w:val="2"/>
        </w:numPr>
        <w:spacing w:after="40" w:before="40" w:line="280"/>
      </w:pPr>
      <w:r>
        <w:rPr>
          <w:sz w:val="22"/>
          <w:szCs w:val="22"/>
        </w:rPr>
        <w:t xml:space="preserve">Days to expiry &lt; 365 or &gt; 730 → reject (band: 12–24 months, target 14–18 months).</w:t>
      </w:r>
    </w:p>
    <w:p>
      <w:pPr>
        <w:pStyle w:val="ListParagraph"/>
        <w:numPr>
          <w:ilvl w:val="0"/>
          <w:numId w:val="2"/>
        </w:numPr>
        <w:spacing w:after="40" w:before="40" w:line="280"/>
      </w:pPr>
      <w:r>
        <w:rPr>
          <w:sz w:val="22"/>
          <w:szCs w:val="22"/>
        </w:rPr>
        <w:t xml:space="preserve">Bid/ask spread &gt; 5% of mid → reject (illiquid contract).</w:t>
      </w:r>
    </w:p>
    <w:p>
      <w:pPr>
        <w:pStyle w:val="ListParagraph"/>
        <w:numPr>
          <w:ilvl w:val="0"/>
          <w:numId w:val="2"/>
        </w:numPr>
        <w:spacing w:after="40" w:before="40" w:line="280"/>
      </w:pPr>
      <w:r>
        <w:rPr>
          <w:sz w:val="22"/>
          <w:szCs w:val="22"/>
        </w:rPr>
        <w:t xml:space="preserve">Open interest &lt; 100 → reject.</w:t>
      </w:r>
    </w:p>
    <w:p>
      <w:pPr>
        <w:pStyle w:val="ListParagraph"/>
        <w:numPr>
          <w:ilvl w:val="0"/>
          <w:numId w:val="2"/>
        </w:numPr>
        <w:spacing w:after="40" w:before="40" w:line="280"/>
      </w:pPr>
      <w:r>
        <w:rPr>
          <w:sz w:val="22"/>
          <w:szCs w:val="22"/>
        </w:rPr>
        <w:t xml:space="preserve">Daily volume on the contract = 0 for last 5 sessions → reject (stale contract).</w:t>
      </w:r>
    </w:p>
    <w:p>
      <w:pPr>
        <w:pStyle w:val="ListParagraph"/>
        <w:numPr>
          <w:ilvl w:val="0"/>
          <w:numId w:val="2"/>
        </w:numPr>
        <w:spacing w:after="40" w:before="40" w:line="280"/>
      </w:pPr>
      <w:r>
        <w:rPr>
          <w:sz w:val="22"/>
          <w:szCs w:val="22"/>
        </w:rPr>
        <w:t xml:space="preserve">Extrinsic value &gt; 15% of contract price → reject (paying too much for time).</w:t>
      </w:r>
    </w:p>
    <w:p>
      <w:pPr>
        <w:pStyle w:val="ListParagraph"/>
        <w:numPr>
          <w:ilvl w:val="0"/>
          <w:numId w:val="2"/>
        </w:numPr>
        <w:spacing w:after="40" w:before="40" w:line="280"/>
      </w:pPr>
      <w:r>
        <w:rPr>
          <w:sz w:val="22"/>
          <w:szCs w:val="22"/>
        </w:rPr>
        <w:t xml:space="preserve">Implied volatility on the contract &gt; 1.5× IV30 baseline → reject (IV elevated; wait for compression).</w:t>
      </w:r>
    </w:p>
    <w:p>
      <w:pPr>
        <w:pStyle w:val="Heading3"/>
        <w:spacing w:after="100" w:before="200"/>
      </w:pPr>
      <w:r>
        <w:rPr>
          <w:b/>
          <w:bCs/>
          <w:color w:val="1F4E78"/>
          <w:sz w:val="24"/>
          <w:szCs w:val="24"/>
        </w:rPr>
        <w:t xml:space="preserve">4.3.2 CSP Contract Hard Fails</w:t>
      </w:r>
    </w:p>
    <w:p>
      <w:pPr>
        <w:pStyle w:val="ListParagraph"/>
        <w:numPr>
          <w:ilvl w:val="0"/>
          <w:numId w:val="2"/>
        </w:numPr>
        <w:spacing w:after="40" w:before="40" w:line="280"/>
      </w:pPr>
      <w:r>
        <w:rPr>
          <w:sz w:val="22"/>
          <w:szCs w:val="22"/>
        </w:rPr>
        <w:t xml:space="preserve">Delta outside [−0.30, −0.15] band → reject.</w:t>
      </w:r>
    </w:p>
    <w:p>
      <w:pPr>
        <w:pStyle w:val="ListParagraph"/>
        <w:numPr>
          <w:ilvl w:val="0"/>
          <w:numId w:val="2"/>
        </w:numPr>
        <w:spacing w:after="40" w:before="40" w:line="280"/>
      </w:pPr>
      <w:r>
        <w:rPr>
          <w:sz w:val="22"/>
          <w:szCs w:val="22"/>
        </w:rPr>
        <w:t xml:space="preserve">DTE outside [25, 50] band → reject (target 30–45).</w:t>
      </w:r>
    </w:p>
    <w:p>
      <w:pPr>
        <w:pStyle w:val="ListParagraph"/>
        <w:numPr>
          <w:ilvl w:val="0"/>
          <w:numId w:val="2"/>
        </w:numPr>
        <w:spacing w:after="40" w:before="40" w:line="280"/>
      </w:pPr>
      <w:r>
        <w:rPr>
          <w:sz w:val="22"/>
          <w:szCs w:val="22"/>
        </w:rPr>
        <w:t xml:space="preserve">Bid/ask spread &gt; 10% of mid OR &gt; $0.10 absolute → reject.</w:t>
      </w:r>
    </w:p>
    <w:p>
      <w:pPr>
        <w:pStyle w:val="ListParagraph"/>
        <w:numPr>
          <w:ilvl w:val="0"/>
          <w:numId w:val="2"/>
        </w:numPr>
        <w:spacing w:after="40" w:before="40" w:line="280"/>
      </w:pPr>
      <w:r>
        <w:rPr>
          <w:sz w:val="22"/>
          <w:szCs w:val="22"/>
        </w:rPr>
        <w:t xml:space="preserve">Open interest &lt; 250 → reject.</w:t>
      </w:r>
    </w:p>
    <w:p>
      <w:pPr>
        <w:pStyle w:val="ListParagraph"/>
        <w:numPr>
          <w:ilvl w:val="0"/>
          <w:numId w:val="2"/>
        </w:numPr>
        <w:spacing w:after="40" w:before="40" w:line="280"/>
      </w:pPr>
      <w:r>
        <w:rPr>
          <w:sz w:val="22"/>
          <w:szCs w:val="22"/>
        </w:rPr>
        <w:t xml:space="preserve">Annualized return on collateral &lt; 12% → reject (premium not worth capital lockup as a quality measure, not a capital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2F8" w:val="clear"/>
            <w:tcMar>
              <w:top w:type="dxa" w:w="160"/>
              <w:left w:type="dxa" w:w="200"/>
              <w:bottom w:type="dxa" w:w="160"/>
              <w:right w:type="dxa" w:w="200"/>
            </w:tcMar>
          </w:tcPr>
          <w:p>
            <w:pPr>
              <w:spacing w:after="80" w:before="40"/>
            </w:pPr>
            <w:r>
              <w:rPr>
                <w:b/>
                <w:bCs/>
                <w:color w:val="2E75B6"/>
                <w:sz w:val="22"/>
                <w:szCs w:val="22"/>
              </w:rPr>
              <w:t xml:space="preserve">What is NOT a hard fail</w:t>
            </w:r>
          </w:p>
          <w:p>
            <w:pPr>
              <w:spacing w:after="60" w:before="60" w:line="300"/>
            </w:pPr>
            <w:r>
              <w:t xml:space="preserve">The following are NOT trade hard fails in this module, even though they might be in other strategies:</w:t>
            </w:r>
          </w:p>
          <w:p>
            <w:pPr>
              <w:spacing w:after="60" w:before="60" w:line="300"/>
            </w:pPr>
            <w:r>
              <w:t xml:space="preserve">• Contract price (LEAPS premium can be any amount; the user decides affordability)</w:t>
            </w:r>
          </w:p>
          <w:p>
            <w:pPr>
              <w:spacing w:after="60" w:before="60" w:line="300"/>
            </w:pPr>
            <w:r>
              <w:t xml:space="preserve">• CSP strike size (no "strike × 100 must be under $X" check)</w:t>
            </w:r>
          </w:p>
          <w:p>
            <w:pPr>
              <w:spacing w:after="60" w:before="60" w:line="300"/>
            </w:pPr>
            <w:r>
              <w:t xml:space="preserve">• Total opportunity cost (the user sees the numbers and decides)</w:t>
            </w:r>
          </w:p>
          <w:p>
            <w:pPr>
              <w:spacing w:after="60" w:before="60" w:line="300"/>
            </w:pPr>
            <w:r>
              <w:t xml:space="preserve">• Same-name appearing in multiple ranked opportunities (the user manages concentration)</w:t>
            </w:r>
          </w:p>
        </w:tc>
      </w:tr>
    </w:tbl>
    <w:p>
      <w:pPr>
        <w:pStyle w:val="Heading2"/>
        <w:spacing w:after="140" w:before="280"/>
      </w:pPr>
      <w:r>
        <w:rPr>
          <w:b/>
          <w:bCs/>
          <w:color w:val="2E75B6"/>
          <w:sz w:val="28"/>
          <w:szCs w:val="28"/>
        </w:rPr>
        <w:t xml:space="preserve">4.4 File 03 — Caution Flags (Informational Only)</w:t>
      </w:r>
    </w:p>
    <w:p>
      <w:pPr>
        <w:spacing w:after="60" w:before="60" w:line="300"/>
      </w:pPr>
      <w:r>
        <w:t xml:space="preserve">These do not reject the candidate but downgrade the score and surface in the output:</w:t>
      </w:r>
    </w:p>
    <w:p>
      <w:pPr>
        <w:pStyle w:val="ListParagraph"/>
        <w:numPr>
          <w:ilvl w:val="0"/>
          <w:numId w:val="2"/>
        </w:numPr>
        <w:spacing w:after="40" w:before="40" w:line="280"/>
      </w:pPr>
      <w:r>
        <w:rPr>
          <w:sz w:val="22"/>
          <w:szCs w:val="22"/>
        </w:rPr>
        <w:t xml:space="preserve">Earnings within 14–30 days → caution flag, −1.0 from score.</w:t>
      </w:r>
    </w:p>
    <w:p>
      <w:pPr>
        <w:pStyle w:val="ListParagraph"/>
        <w:numPr>
          <w:ilvl w:val="0"/>
          <w:numId w:val="2"/>
        </w:numPr>
        <w:spacing w:after="40" w:before="40" w:line="280"/>
      </w:pPr>
      <w:r>
        <w:rPr>
          <w:sz w:val="22"/>
          <w:szCs w:val="22"/>
        </w:rPr>
        <w:t xml:space="preserve">Stock between 50d and 200d MA (no clear trend) → caution, −0.5.</w:t>
      </w:r>
    </w:p>
    <w:p>
      <w:pPr>
        <w:pStyle w:val="ListParagraph"/>
        <w:numPr>
          <w:ilvl w:val="0"/>
          <w:numId w:val="2"/>
        </w:numPr>
        <w:spacing w:after="40" w:before="40" w:line="280"/>
      </w:pPr>
      <w:r>
        <w:rPr>
          <w:sz w:val="22"/>
          <w:szCs w:val="22"/>
        </w:rPr>
        <w:t xml:space="preserve">IV Rank between 60–80 → caution on LEAPS leg, −0.5.</w:t>
      </w:r>
    </w:p>
    <w:p>
      <w:pPr>
        <w:pStyle w:val="ListParagraph"/>
        <w:numPr>
          <w:ilvl w:val="0"/>
          <w:numId w:val="2"/>
        </w:numPr>
        <w:spacing w:after="40" w:before="40" w:line="280"/>
      </w:pPr>
      <w:r>
        <w:rPr>
          <w:sz w:val="22"/>
          <w:szCs w:val="22"/>
        </w:rPr>
        <w:t xml:space="preserve">FOMC, CPI, or NFP within 5 trading days → caution, −0.5.</w:t>
      </w:r>
    </w:p>
    <w:p>
      <w:pPr>
        <w:pStyle w:val="ListParagraph"/>
        <w:numPr>
          <w:ilvl w:val="0"/>
          <w:numId w:val="2"/>
        </w:numPr>
        <w:spacing w:after="40" w:before="40" w:line="280"/>
      </w:pPr>
      <w:r>
        <w:rPr>
          <w:sz w:val="22"/>
          <w:szCs w:val="22"/>
        </w:rPr>
        <w:t xml:space="preserve">Ex-dividend date within DTE window of CSP → caution, −0.5 (early assignment risk if CSP goes ITM).</w:t>
      </w:r>
    </w:p>
    <w:p>
      <w:pPr>
        <w:pStyle w:val="ListParagraph"/>
        <w:numPr>
          <w:ilvl w:val="0"/>
          <w:numId w:val="2"/>
        </w:numPr>
        <w:spacing w:after="40" w:before="40" w:line="280"/>
      </w:pPr>
      <w:r>
        <w:rPr>
          <w:sz w:val="22"/>
          <w:szCs w:val="22"/>
        </w:rPr>
        <w:t xml:space="preserve">LEAPS premium &gt; 25% of stock price → caution, −0.3 (high-priced contract; user should evaluate alternative deltas).</w:t>
      </w:r>
    </w:p>
    <w:p>
      <w:pPr>
        <w:pStyle w:val="ListParagraph"/>
        <w:numPr>
          <w:ilvl w:val="0"/>
          <w:numId w:val="2"/>
        </w:numPr>
        <w:spacing w:after="40" w:before="40" w:line="280"/>
      </w:pPr>
      <w:r>
        <w:rPr>
          <w:sz w:val="22"/>
          <w:szCs w:val="22"/>
        </w:rPr>
        <w:t xml:space="preserve">CSP strike &gt; stock 200-day MA × 0.85 → caution, −0.3 (CSP strike close to important MA level).</w:t>
      </w:r>
    </w:p>
    <w:p>
      <w:r>
        <w:br w:type="page"/>
      </w:r>
    </w:p>
    <w:p>
      <w:pPr>
        <w:pStyle w:val="Heading1"/>
        <w:spacing w:after="180" w:before="360"/>
      </w:pPr>
      <w:r>
        <w:rPr>
          <w:b/>
          <w:bCs/>
          <w:color w:val="1F4E78"/>
          <w:sz w:val="36"/>
          <w:szCs w:val="36"/>
        </w:rPr>
        <w:t xml:space="preserve">5. Scoring Model (Score out of 10)</w:t>
      </w:r>
    </w:p>
    <w:p>
      <w:pPr>
        <w:spacing w:after="60" w:before="60" w:line="300"/>
      </w:pPr>
      <w:r>
        <w:t xml:space="preserve">Each opportunity receives a combined score derived from the LEAPS leg score and the CSP leg score. The combined score is the primary ranking signal. Output is sorted descending by combined score with no truncation.</w:t>
      </w:r>
    </w:p>
    <w:p>
      <w:pPr>
        <w:pStyle w:val="Heading2"/>
        <w:spacing w:after="140" w:before="280"/>
      </w:pPr>
      <w:r>
        <w:rPr>
          <w:b/>
          <w:bCs/>
          <w:color w:val="2E75B6"/>
          <w:sz w:val="28"/>
          <w:szCs w:val="28"/>
        </w:rPr>
        <w:t xml:space="preserve">5.1 LEAPS Leg Score (Sub-Score, 0–10)</w:t>
      </w:r>
    </w:p>
    <w:p>
      <w:pPr>
        <w:spacing w:after="60" w:before="60" w:line="300"/>
      </w:pPr>
      <w:r>
        <w:t xml:space="preserve">Inherits the long-premium scoring framework from screening/07-scoring-long-premium.md with the following LEAPS-specific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6460"/>
      </w:tblGrid>
      <w:tr>
        <w:trPr>
          <w:tblHeader/>
        </w:trPr>
        <w:tc>
          <w:tcPr>
            <w:tcW w:type="dxa" w:w="21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Component</w:t>
            </w:r>
          </w:p>
        </w:tc>
        <w:tc>
          <w:tcPr>
            <w:tcW w:type="dxa" w:w="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Weight</w:t>
            </w:r>
          </w:p>
        </w:tc>
        <w:tc>
          <w:tcPr>
            <w:tcW w:type="dxa" w:w="64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Scoring rule</w:t>
            </w:r>
          </w:p>
        </w:tc>
      </w:tr>
      <w:tr>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Stock trend strength</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20%</w:t>
            </w:r>
          </w:p>
        </w:tc>
        <w:tc>
          <w:tcPr>
            <w:tcW w:type="dxa" w:w="6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Above 50d AND 200d, with 50d &gt; 200d (golden cross territory): 10. Above only 200d: 7. Above only 50d: 5. Below both: 0 (already hard-failed).</w:t>
            </w:r>
          </w:p>
        </w:tc>
      </w:tr>
      <w:tr>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Delta in target band</w:t>
            </w:r>
          </w:p>
        </w:tc>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15%</w:t>
            </w:r>
          </w:p>
        </w:tc>
        <w:tc>
          <w:tcPr>
            <w:tcW w:type="dxa" w:w="6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Delta 0.78–0.82: 10. 0.75–0.85: 8. 0.70–0.75 or 0.85–0.90: 5.</w:t>
            </w:r>
          </w:p>
        </w:tc>
      </w:tr>
      <w:tr>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Extrinsic % of premium</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20%</w:t>
            </w:r>
          </w:p>
        </w:tc>
        <w:tc>
          <w:tcPr>
            <w:tcW w:type="dxa" w:w="6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≤5%: 10. 5–8%: 8. 8–12%: 5. 12–15%: 2. (&gt;15% already rejected.)</w:t>
            </w:r>
          </w:p>
        </w:tc>
      </w:tr>
      <w:tr>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IV state on contract</w:t>
            </w:r>
          </w:p>
        </w:tc>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15%</w:t>
            </w:r>
          </w:p>
        </w:tc>
        <w:tc>
          <w:tcPr>
            <w:tcW w:type="dxa" w:w="6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IVR &lt; 30: 10. 30–50: 8. 50–60: 5. 60–80: 2 (caution flag also fires).</w:t>
            </w:r>
          </w:p>
        </w:tc>
      </w:tr>
      <w:tr>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Liquidity (spread + OI)</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10%</w:t>
            </w:r>
          </w:p>
        </w:tc>
        <w:tc>
          <w:tcPr>
            <w:tcW w:type="dxa" w:w="6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Spread &lt;2% AND OI &gt;500: 10. &lt;3% AND &gt;250: 8. &lt;5% AND &gt;100: 5.</w:t>
            </w:r>
          </w:p>
        </w:tc>
      </w:tr>
      <w:tr>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Fundamental grade</w:t>
            </w:r>
          </w:p>
        </w:tc>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10%</w:t>
            </w:r>
          </w:p>
        </w:tc>
        <w:tc>
          <w:tcPr>
            <w:tcW w:type="dxa" w:w="6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From file 05-fundamental-grading.md: A=10, B=8, C=5, D=2, F=0.</w:t>
            </w:r>
          </w:p>
        </w:tc>
      </w:tr>
      <w:tr>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Distance to next earnings</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10%</w:t>
            </w:r>
          </w:p>
        </w:tc>
        <w:tc>
          <w:tcPr>
            <w:tcW w:type="dxa" w:w="6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&gt;90 DTE to earnings: 10. 60–90: 8. 30–60: 5. 14–30: 2 (also caution-flagged).</w:t>
            </w:r>
          </w:p>
        </w:tc>
      </w:tr>
    </w:tbl>
    <w:p>
      <w:pPr>
        <w:spacing w:after="120" w:before="120"/>
      </w:pPr>
      <w:r>
        <w:t xml:space="preserve"/>
      </w:r>
    </w:p>
    <w:p>
      <w:pPr>
        <w:pStyle w:val="Heading2"/>
        <w:spacing w:after="140" w:before="280"/>
      </w:pPr>
      <w:r>
        <w:rPr>
          <w:b/>
          <w:bCs/>
          <w:color w:val="2E75B6"/>
          <w:sz w:val="28"/>
          <w:szCs w:val="28"/>
        </w:rPr>
        <w:t xml:space="preserve">5.2 CSP Leg Score (Sub-Score, 0–10)</w:t>
      </w:r>
    </w:p>
    <w:p>
      <w:pPr>
        <w:spacing w:after="60" w:before="60" w:line="300"/>
      </w:pPr>
      <w:r>
        <w:t xml:space="preserve">Inherits screening/06-scoring-short-premium.md with these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Component</w:t>
            </w:r>
          </w:p>
        </w:tc>
        <w:tc>
          <w:tcPr>
            <w:tcW w:type="dxa" w:w="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Weight</w:t>
            </w:r>
          </w:p>
        </w:tc>
        <w:tc>
          <w:tcPr>
            <w:tcW w:type="dxa" w:w="6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Scoring rule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Annualized return on collateral</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25%</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≥25%: 10. 20–25%: 8. 15–20%: 6. 12–15%: 4. (&lt;12% already rejected.)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IV Rank on underlying</w:t>
            </w:r>
          </w:p>
        </w:tc>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20%</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IVR ≥50: 10. 35–50: 8. 25–35: 5. &lt;25: 2.</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Delta in target band</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15%</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Delta −0.20 to −0.25: 10. −0.15 to −0.20 or −0.25 to −0.30: 7.</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Liquidity (spread + OI)</w:t>
            </w:r>
          </w:p>
        </w:tc>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10%</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Same scale as LEAPS leg.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Stock trend</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10%</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Above 50d MA: 10. Between 50d and 200d: 5. Below 200d: 0 (also hard-failed).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Strike quality ("would I want to own at this strike")</w:t>
            </w:r>
          </w:p>
        </w:tc>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10%</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Strike at or below 200d MA: 10. Within 5% above 200d: 7. 5–10% above: 4. &gt;10% above 200d: 1.</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Distance to events</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10%</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Earnings + macro events both &gt;14 days out: 10. One event in 7–14 days: 5. Event in &lt;14 days: hard fail.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2F8" w:val="clear"/>
            <w:tcMar>
              <w:top w:type="dxa" w:w="160"/>
              <w:left w:type="dxa" w:w="200"/>
              <w:bottom w:type="dxa" w:w="160"/>
              <w:right w:type="dxa" w:w="200"/>
            </w:tcMar>
          </w:tcPr>
          <w:p>
            <w:pPr>
              <w:spacing w:after="80" w:before="40"/>
            </w:pPr>
            <w:r>
              <w:rPr>
                <w:b/>
                <w:bCs/>
                <w:color w:val="2E75B6"/>
                <w:sz w:val="22"/>
                <w:szCs w:val="22"/>
              </w:rPr>
              <w:t xml:space="preserve">"Strike quality" replaces "sector diversification"</w:t>
            </w:r>
          </w:p>
          <w:p>
            <w:pPr>
              <w:spacing w:after="40" w:before="40" w:line="280"/>
            </w:pPr>
            <w:r>
              <w:rPr>
                <w:sz w:val="22"/>
                <w:szCs w:val="22"/>
              </w:rPr>
              <w:t xml:space="preserve">In the prior version, the CSP scoring included a sector diversification component (penalizing same-sector concentration). That logic belongs to portfolio-level decisions, not opportunity ranking. It has been removed and replaced with "strike quality" — a measure of whether the CSP strike is a price the underlying stock has historically supported, independent of any other position the user holds.</w:t>
            </w:r>
          </w:p>
        </w:tc>
      </w:tr>
    </w:tbl>
    <w:p>
      <w:pPr>
        <w:pStyle w:val="Heading2"/>
        <w:spacing w:after="140" w:before="280"/>
      </w:pPr>
      <w:r>
        <w:rPr>
          <w:b/>
          <w:bCs/>
          <w:color w:val="2E75B6"/>
          <w:sz w:val="28"/>
          <w:szCs w:val="28"/>
        </w:rPr>
        <w:t xml:space="preserve">5.3 Combined Opportunity Score</w:t>
      </w:r>
    </w:p>
    <w:p>
      <w:pPr>
        <w:spacing w:after="60" w:before="60" w:line="300"/>
      </w:pPr>
      <w:r>
        <w:t xml:space="preserve">Combined score is the weighted average of the two leg sub-scores, with the LEAPS leg weighted slightly higher because the LEAPS carries more directional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20" w:before="20" w:line="260"/>
            </w:pPr>
            <w:r>
              <w:rPr>
                <w:rFonts w:ascii="Consolas" w:cs="Consolas" w:eastAsia="Consolas" w:hAnsi="Consolas"/>
                <w:sz w:val="20"/>
                <w:szCs w:val="20"/>
              </w:rPr>
              <w:t xml:space="preserve">Combined Score = (LEAPS Sub-Score × 0.60) + (CSP Sub-Score × 0.40)</w:t>
            </w:r>
          </w:p>
        </w:tc>
      </w:tr>
    </w:tbl>
    <w:p>
      <w:pPr>
        <w:spacing w:after="60" w:before="60" w:line="300"/>
      </w:pPr>
      <w:r>
        <w:t xml:space="preserve">Final adjustments after weighted average:</w:t>
      </w:r>
    </w:p>
    <w:p>
      <w:pPr>
        <w:pStyle w:val="ListParagraph"/>
        <w:numPr>
          <w:ilvl w:val="0"/>
          <w:numId w:val="2"/>
        </w:numPr>
        <w:spacing w:after="40" w:before="40" w:line="280"/>
      </w:pPr>
      <w:r>
        <w:rPr>
          <w:sz w:val="22"/>
          <w:szCs w:val="22"/>
        </w:rPr>
        <w:t xml:space="preserve">Subtract any caution flag deductions (file 03).</w:t>
      </w:r>
    </w:p>
    <w:p>
      <w:pPr>
        <w:pStyle w:val="ListParagraph"/>
        <w:numPr>
          <w:ilvl w:val="0"/>
          <w:numId w:val="2"/>
        </w:numPr>
        <w:spacing w:after="40" w:before="40" w:line="280"/>
      </w:pPr>
      <w:r>
        <w:rPr>
          <w:sz w:val="22"/>
          <w:szCs w:val="22"/>
        </w:rPr>
        <w:t xml:space="preserve">Floor at 0, ceiling at 10.</w:t>
      </w:r>
    </w:p>
    <w:p>
      <w:pPr>
        <w:pStyle w:val="ListParagraph"/>
        <w:numPr>
          <w:ilvl w:val="0"/>
          <w:numId w:val="2"/>
        </w:numPr>
        <w:spacing w:after="40" w:before="40" w:line="280"/>
      </w:pPr>
      <w:r>
        <w:rPr>
          <w:sz w:val="22"/>
          <w:szCs w:val="22"/>
        </w:rPr>
        <w:t xml:space="preserve">Round to one decimal place.</w:t>
      </w:r>
    </w:p>
    <w:p>
      <w:pPr>
        <w:pStyle w:val="Heading2"/>
        <w:spacing w:after="140" w:before="280"/>
      </w:pPr>
      <w:r>
        <w:rPr>
          <w:b/>
          <w:bCs/>
          <w:color w:val="2E75B6"/>
          <w:sz w:val="28"/>
          <w:szCs w:val="28"/>
        </w:rPr>
        <w:t xml:space="preserve">5.4 Grade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rPr>
          <w:tblHeader/>
        </w:trPr>
        <w:tc>
          <w:tcPr>
            <w:tcW w:type="dxa" w:w="15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Score</w:t>
            </w:r>
          </w:p>
        </w:tc>
        <w:tc>
          <w:tcPr>
            <w:tcW w:type="dxa" w:w="1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Grade</w:t>
            </w:r>
          </w:p>
        </w:tc>
        <w:tc>
          <w:tcPr>
            <w:tcW w:type="dxa" w:w="66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Quality interpretation</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9.0 – 10.0</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w:t>
            </w:r>
          </w:p>
        </w:tc>
        <w:tc>
          <w:tcPr>
            <w:tcW w:type="dxa" w:w="6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Excellent setup across both legs. Top-tier opportunity.</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8.0 – 8.9</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A</w:t>
            </w:r>
          </w:p>
        </w:tc>
        <w:tc>
          <w:tcPr>
            <w:tcW w:type="dxa" w:w="6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Strong setup. Both legs score well; minor flags at most.</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7.0 – 7.9</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B</w:t>
            </w:r>
          </w:p>
        </w:tc>
        <w:tc>
          <w:tcPr>
            <w:tcW w:type="dxa" w:w="6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Acceptable. One leg may have caution flags; viable for users comfortable with the flagged risks.</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6.0 – 6.9</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w:t>
            </w:r>
          </w:p>
        </w:tc>
        <w:tc>
          <w:tcPr>
            <w:tcW w:type="dxa" w:w="6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Marginal. Surfaced for transparency but quality concerns present.</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&lt; 6.0</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F</w:t>
            </w:r>
          </w:p>
        </w:tc>
        <w:tc>
          <w:tcPr>
            <w:tcW w:type="dxa" w:w="6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Low quality. Shown only if user requests full dump; default views exclude these.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8"/>
              <w:bottom w:val="single" w:color="548235" w:sz="8"/>
              <w:right w:val="single" w:color="548235" w:sz="8"/>
            </w:tcBorders>
            <w:shd w:fill="E8F2E0" w:val="clear"/>
            <w:tcMar>
              <w:top w:type="dxa" w:w="160"/>
              <w:left w:type="dxa" w:w="200"/>
              <w:bottom w:type="dxa" w:w="160"/>
              <w:right w:type="dxa" w:w="200"/>
            </w:tcMar>
          </w:tcPr>
          <w:p>
            <w:pPr>
              <w:spacing w:after="80" w:before="40"/>
            </w:pPr>
            <w:r>
              <w:rPr>
                <w:b/>
                <w:bCs/>
                <w:color w:val="548235"/>
                <w:sz w:val="22"/>
                <w:szCs w:val="22"/>
              </w:rPr>
              <w:t xml:space="preserve">No truncation by quality</w:t>
            </w:r>
          </w:p>
          <w:p>
            <w:pPr>
              <w:spacing w:after="40" w:before="40" w:line="280"/>
            </w:pPr>
            <w:r>
              <w:rPr>
                <w:sz w:val="22"/>
                <w:szCs w:val="22"/>
              </w:rPr>
              <w:t xml:space="preserve">All scored opportunities are included in the full output. Default views show A+, A, and B grades. C and F grades are accessible via a "show all" toggle. The user is never deprived of information because the tool deemed an opportunity "not for them."</w:t>
            </w:r>
          </w:p>
        </w:tc>
      </w:tr>
    </w:tbl>
    <w:p>
      <w:r>
        <w:br w:type="page"/>
      </w:r>
    </w:p>
    <w:p>
      <w:pPr>
        <w:pStyle w:val="Heading1"/>
        <w:spacing w:after="180" w:before="360"/>
      </w:pPr>
      <w:r>
        <w:rPr>
          <w:b/>
          <w:bCs/>
          <w:color w:val="1F4E78"/>
          <w:sz w:val="36"/>
          <w:szCs w:val="36"/>
        </w:rPr>
        <w:t xml:space="preserve">6. Market Gate Overlay</w:t>
      </w:r>
    </w:p>
    <w:p>
      <w:pPr>
        <w:spacing w:after="60" w:before="60" w:line="300"/>
      </w:pPr>
      <w:r>
        <w:t xml:space="preserve">The standard market gate (core/market-gate.md) applies. This strategy adds the following overlay because LEAPS are particularly sensitive to broad market regime changes and IV crush:</w:t>
      </w:r>
    </w:p>
    <w:p>
      <w:pPr>
        <w:pStyle w:val="Heading2"/>
        <w:spacing w:after="140" w:before="280"/>
      </w:pPr>
      <w:r>
        <w:rPr>
          <w:b/>
          <w:bCs/>
          <w:color w:val="2E75B6"/>
          <w:sz w:val="28"/>
          <w:szCs w:val="28"/>
        </w:rPr>
        <w:t xml:space="preserve">6.1 Gate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Condition</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PASS</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CAUTION</w:t>
            </w:r>
          </w:p>
        </w:tc>
        <w:tc>
          <w:tcPr>
            <w:tcW w:type="dxa" w:w="2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FAIL</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SPX vs 50-day MA</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Above 50d</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Within ±1% of 50d</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Below 50d for 5+ sessions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VIX level</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&lt; 22</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22 – 28</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&gt; 28 (sustained)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VIX 5-day change</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&lt; +20%</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+20% to +40%</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&gt; +40% in 5 days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SPX 200-day MA</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Above 200d</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Within 2% of 200d</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Below 200d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High-yield credit spreads (HYG/IEF ratio)</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Stable or rising</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Declining &lt; 1%/week</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Declining &gt; 1%/week</w:t>
            </w:r>
          </w:p>
        </w:tc>
      </w:tr>
    </w:tbl>
    <w:p>
      <w:pPr>
        <w:spacing w:after="120" w:before="120"/>
      </w:pPr>
      <w:r>
        <w:t xml:space="preserve"/>
      </w:r>
    </w:p>
    <w:p>
      <w:pPr>
        <w:pStyle w:val="Heading2"/>
        <w:spacing w:after="140" w:before="280"/>
      </w:pPr>
      <w:r>
        <w:rPr>
          <w:b/>
          <w:bCs/>
          <w:color w:val="2E75B6"/>
          <w:sz w:val="28"/>
          <w:szCs w:val="28"/>
        </w:rPr>
        <w:t xml:space="preserve">6.2 Gate Actions</w:t>
      </w:r>
    </w:p>
    <w:p>
      <w:pPr>
        <w:pStyle w:val="ListParagraph"/>
        <w:numPr>
          <w:ilvl w:val="0"/>
          <w:numId w:val="2"/>
        </w:numPr>
        <w:spacing w:after="40" w:before="40" w:line="280"/>
      </w:pPr>
      <w:r>
        <w:rPr>
          <w:sz w:val="22"/>
          <w:szCs w:val="22"/>
        </w:rPr>
        <w:t xml:space="preserve">PASS — all qualifying opportunities surfaced normally.</w:t>
      </w:r>
    </w:p>
    <w:p>
      <w:pPr>
        <w:pStyle w:val="ListParagraph"/>
        <w:numPr>
          <w:ilvl w:val="0"/>
          <w:numId w:val="2"/>
        </w:numPr>
        <w:spacing w:after="40" w:before="40" w:line="280"/>
      </w:pPr>
      <w:r>
        <w:rPr>
          <w:sz w:val="22"/>
          <w:szCs w:val="22"/>
        </w:rPr>
        <w:t xml:space="preserve">CAUTION — opportunities still surfaced, but combined score floor for default view raised from 7.0 to 7.5. LEAPS-leg-only opportunities (no CSP overlay) flagged. CSP-side opportunities are emphasized (elevated IV favors them).</w:t>
      </w:r>
    </w:p>
    <w:p>
      <w:pPr>
        <w:pStyle w:val="ListParagraph"/>
        <w:numPr>
          <w:ilvl w:val="0"/>
          <w:numId w:val="2"/>
        </w:numPr>
        <w:spacing w:after="40" w:before="40" w:line="280"/>
      </w:pPr>
      <w:r>
        <w:rPr>
          <w:sz w:val="22"/>
          <w:szCs w:val="22"/>
        </w:rPr>
        <w:t xml:space="preserve">FAIL — no new LEAPS opportunities surfaced. CSP-only opportunities still shown if IVR &gt; 60. Existing user-marked positions still get exit guidance.</w:t>
      </w:r>
    </w:p>
    <w:p>
      <w:pPr>
        <w:pStyle w:val="Heading2"/>
        <w:spacing w:after="140" w:before="280"/>
      </w:pPr>
      <w:r>
        <w:rPr>
          <w:b/>
          <w:bCs/>
          <w:color w:val="2E75B6"/>
          <w:sz w:val="28"/>
          <w:szCs w:val="28"/>
        </w:rPr>
        <w:t xml:space="preserve">6.3 Required Output Header</w:t>
      </w:r>
    </w:p>
    <w:p>
      <w:pPr>
        <w:spacing w:after="60" w:before="60" w:line="300"/>
      </w:pPr>
      <w:r>
        <w:t xml:space="preserve">Every screening run must produce a market gate header at the top of the ranked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20" w:before="20" w:line="260"/>
            </w:pPr>
            <w:r>
              <w:rPr>
                <w:rFonts w:ascii="Consolas" w:cs="Consolas" w:eastAsia="Consolas" w:hAnsi="Consolas"/>
                <w:sz w:val="20"/>
                <w:szCs w:val="20"/>
              </w:rPr>
              <w:t xml:space="preserve">Market Gate: [PASS|CAUTION|FAIL]</w:t>
            </w:r>
          </w:p>
          <w:p>
            <w:pPr>
              <w:spacing w:after="20" w:before="20" w:line="260"/>
            </w:pPr>
            <w:r>
              <w:rPr>
                <w:rFonts w:ascii="Consolas" w:cs="Consolas" w:eastAsia="Consolas" w:hAnsi="Consolas"/>
                <w:sz w:val="20"/>
                <w:szCs w:val="20"/>
              </w:rPr>
              <w:t xml:space="preserve">SPX: 5,xxx.xx | 50d MA: 5,xxx.xx | 200d MA: 5,xxx.xx</w:t>
            </w:r>
          </w:p>
          <w:p>
            <w:pPr>
              <w:spacing w:after="20" w:before="20" w:line="260"/>
            </w:pPr>
            <w:r>
              <w:rPr>
                <w:rFonts w:ascii="Consolas" w:cs="Consolas" w:eastAsia="Consolas" w:hAnsi="Consolas"/>
                <w:sz w:val="20"/>
                <w:szCs w:val="20"/>
              </w:rPr>
              <w:t xml:space="preserve">VIX: xx.xx | VIX 5d change: ±xx%</w:t>
            </w:r>
          </w:p>
          <w:p>
            <w:pPr>
              <w:spacing w:after="20" w:before="20" w:line="260"/>
            </w:pPr>
            <w:r>
              <w:rPr>
                <w:rFonts w:ascii="Consolas" w:cs="Consolas" w:eastAsia="Consolas" w:hAnsi="Consolas"/>
                <w:sz w:val="20"/>
                <w:szCs w:val="20"/>
              </w:rPr>
              <w:t xml:space="preserve">HYG/IEF: x.xxxx (trend: ↑/↓/→)</w:t>
            </w:r>
          </w:p>
          <w:p>
            <w:pPr>
              <w:spacing w:after="20" w:before="20" w:line="260"/>
            </w:pPr>
            <w:r>
              <w:rPr>
                <w:rFonts w:ascii="Consolas" w:cs="Consolas" w:eastAsia="Consolas" w:hAnsi="Consolas"/>
                <w:sz w:val="20"/>
                <w:szCs w:val="20"/>
              </w:rPr>
              <w:t xml:space="preserve">Effect on this run: [Normal | Filtered to A/A+ only | LEAPS suppressed]</w:t>
            </w:r>
          </w:p>
        </w:tc>
      </w:tr>
    </w:tbl>
    <w:p>
      <w:r>
        <w:br w:type="page"/>
      </w:r>
    </w:p>
    <w:p>
      <w:pPr>
        <w:pStyle w:val="Heading1"/>
        <w:spacing w:after="180" w:before="360"/>
      </w:pPr>
      <w:r>
        <w:rPr>
          <w:b/>
          <w:bCs/>
          <w:color w:val="1F4E78"/>
          <w:sz w:val="36"/>
          <w:szCs w:val="36"/>
        </w:rPr>
        <w:t xml:space="preserve">7. Exit Strategy and Risk Mitigation</w:t>
      </w:r>
    </w:p>
    <w:p>
      <w:pPr>
        <w:spacing w:after="60" w:before="60" w:line="300"/>
      </w:pPr>
      <w:r>
        <w:t xml:space="preserve">This section defines the rules the app surfaces on the per-opportunity dashboard for any opportunity the user has marked as opened. Each rule maps to a specific condition the engine checks during the daily re-validation pass. The module does not act on these — it surfaces them as guidance.</w:t>
      </w:r>
    </w:p>
    <w:p>
      <w:pPr>
        <w:pStyle w:val="Heading2"/>
        <w:spacing w:after="140" w:before="280"/>
      </w:pPr>
      <w:r>
        <w:rPr>
          <w:b/>
          <w:bCs/>
          <w:color w:val="2E75B6"/>
          <w:sz w:val="28"/>
          <w:szCs w:val="28"/>
        </w:rPr>
        <w:t xml:space="preserve">7.1 LEAPS Leg — Exit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Condition</w:t>
            </w:r>
          </w:p>
        </w:tc>
        <w:tc>
          <w:tcPr>
            <w:tcW w:type="dxa" w:w="33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Action</w:t>
            </w:r>
          </w:p>
        </w:tc>
        <w:tc>
          <w:tcPr>
            <w:tcW w:type="dxa" w:w="3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Reasoning</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Premium reaches +50% of entry debit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Take profit on 50% of position; let remaining 50% ride with trailing stop at +25%</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Lock in directional win; capture remaining upside</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DTE drops to 90 days</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Roll out to next 12–18 month expiry, same delta band</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Avoid theta acceleration zone</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Delta exceeds 0.95</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Roll up and out — close current LEAPS, open new one at 0.80 delta further out</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Restore leverage; lock in directional profit</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Delta drops below 0.55</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Re-evaluate thesis. If still bullish: roll down to 0.75 delta same expiry. If thesis broken: close at loss.</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Position has become more like a lottery ticket than stock replacement</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Premium drops 35% from entry</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Hard stop. Close the position.</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Prevents catastrophic LEAPS loss</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Stock breaks below 200-day MA on closing basis</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Exit immediately regardless of P&amp;L</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Trend break invalidates LEAPS thesis</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IV crush — IV on contract drops &gt;40% with no underlying move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Hold if thesis intact; consider rolling to a lower-IV-sensitive structure (vertical spread)</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Already crushed; selling at the bottom of IV cycle is poor</w:t>
            </w:r>
          </w:p>
        </w:tc>
      </w:tr>
    </w:tbl>
    <w:p>
      <w:pPr>
        <w:spacing w:after="120" w:before="120"/>
      </w:pPr>
      <w:r>
        <w:t xml:space="preserve"/>
      </w:r>
    </w:p>
    <w:p>
      <w:pPr>
        <w:pStyle w:val="Heading2"/>
        <w:spacing w:after="140" w:before="280"/>
      </w:pPr>
      <w:r>
        <w:rPr>
          <w:b/>
          <w:bCs/>
          <w:color w:val="2E75B6"/>
          <w:sz w:val="28"/>
          <w:szCs w:val="28"/>
        </w:rPr>
        <w:t xml:space="preserve">7.2 CSP Leg — Exit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Condition</w:t>
            </w:r>
          </w:p>
        </w:tc>
        <w:tc>
          <w:tcPr>
            <w:tcW w:type="dxa" w:w="33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Action</w:t>
            </w:r>
          </w:p>
        </w:tc>
        <w:tc>
          <w:tcPr>
            <w:tcW w:type="dxa" w:w="3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Reasoning</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Profit reaches 50% of max</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Close the CSP immediately, redeploy capital</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Tastytrade-style; 50% capture is highest-EV exit</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DTE drops to 21 days</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Roll to next 30–45 DTE cycle if delta still in band; close if drifted</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Gamma risk accelerates in final 3 weeks</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Short put goes ITM (price below strike)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If 21+ DTE: roll down and out for credit. If &lt;21 DTE: accept assignment (becomes wheel position) OR close.</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Assignment is acceptable for income strategy; wheel takes over</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Delta moves outside [−0.10, −0.40]</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Roll to bring delta back to target band</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Position has drifted from strategy parameters</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Earnings now within 14 days (rolled into window)</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Close immediately even at loss</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Earnings binary risk not compensated by remaining premium</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Stock breaks 200-day MA after CSP entry</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Close the CSP; do not accept assignment on a broken trend</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Falling underlying makes assignment a losing trade</w:t>
            </w:r>
          </w:p>
        </w:tc>
      </w:tr>
    </w:tbl>
    <w:p>
      <w:pPr>
        <w:spacing w:after="120" w:before="120"/>
      </w:pPr>
      <w:r>
        <w:t xml:space="preserve"/>
      </w:r>
    </w:p>
    <w:p>
      <w:pPr>
        <w:pStyle w:val="Heading2"/>
        <w:spacing w:after="140" w:before="280"/>
      </w:pPr>
      <w:r>
        <w:rPr>
          <w:b/>
          <w:bCs/>
          <w:color w:val="2E75B6"/>
          <w:sz w:val="28"/>
          <w:szCs w:val="28"/>
        </w:rPr>
        <w:t xml:space="preserve">7.3 Whole-Position Catastrophe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BEAEA" w:val="clear"/>
            <w:tcMar>
              <w:top w:type="dxa" w:w="160"/>
              <w:left w:type="dxa" w:w="200"/>
              <w:bottom w:type="dxa" w:w="160"/>
              <w:right w:type="dxa" w:w="200"/>
            </w:tcMar>
          </w:tcPr>
          <w:p>
            <w:pPr>
              <w:spacing w:after="80" w:before="40"/>
            </w:pPr>
            <w:r>
              <w:rPr>
                <w:b/>
                <w:bCs/>
                <w:color w:val="C00000"/>
                <w:sz w:val="22"/>
                <w:szCs w:val="22"/>
              </w:rPr>
              <w:t xml:space="preserve">Hard kill switches surfaced as urgent guidance</w:t>
            </w:r>
          </w:p>
          <w:p>
            <w:pPr>
              <w:spacing w:after="60" w:before="60" w:line="300"/>
            </w:pPr>
            <w:r>
              <w:t xml:space="preserve">These conditions trigger the highest-priority alert on the dashboard for any opened opportunity:</w:t>
            </w:r>
          </w:p>
          <w:p>
            <w:pPr>
              <w:spacing w:after="60" w:before="60" w:line="300"/>
            </w:pPr>
            <w:r>
              <w:t xml:space="preserve">1. Underlying stock halts trading or has a flash crash event.</w:t>
            </w:r>
          </w:p>
          <w:p>
            <w:pPr>
              <w:spacing w:after="60" w:before="60" w:line="300"/>
            </w:pPr>
            <w:r>
              <w:t xml:space="preserve">2. Issuer announces fraud, accounting restatement, or going-concern warning.</w:t>
            </w:r>
          </w:p>
          <w:p>
            <w:pPr>
              <w:spacing w:after="60" w:before="60" w:line="300"/>
            </w:pPr>
            <w:r>
              <w:t xml:space="preserve">3. SPX drops &gt;7% in a single session (circuit-breaker territory).</w:t>
            </w:r>
          </w:p>
          <w:p>
            <w:pPr>
              <w:spacing w:after="60" w:before="60" w:line="300"/>
            </w:pPr>
            <w:r>
              <w:t xml:space="preserve">4. VIX spikes above 40 (panic regime).</w:t>
            </w:r>
          </w:p>
          <w:p>
            <w:pPr>
              <w:spacing w:after="60" w:before="60" w:line="300"/>
            </w:pPr>
            <w:r>
              <w:t xml:space="preserve">5. M&amp;A announcement materially changes the underlying's risk profile.</w:t>
            </w:r>
          </w:p>
          <w:p>
            <w:pPr>
              <w:spacing w:after="60" w:before="60" w:line="300"/>
            </w:pPr>
            <w:r>
              <w:t xml:space="preserve">The module surfaces these alerts; the user takes action.</w:t>
            </w:r>
          </w:p>
        </w:tc>
      </w:tr>
    </w:tbl>
    <w:p>
      <w:pPr>
        <w:pStyle w:val="Heading2"/>
        <w:spacing w:after="140" w:before="280"/>
      </w:pPr>
      <w:r>
        <w:rPr>
          <w:b/>
          <w:bCs/>
          <w:color w:val="2E75B6"/>
          <w:sz w:val="28"/>
          <w:szCs w:val="28"/>
        </w:rPr>
        <w:t xml:space="preserve">7.4 Recovery / Cool-Down Guidance</w:t>
      </w:r>
    </w:p>
    <w:p>
      <w:pPr>
        <w:spacing w:after="60" w:before="60" w:line="300"/>
      </w:pPr>
      <w:r>
        <w:t xml:space="preserve">After a closed-out catastrophe on a ticker, the module flags the ticker in subsequent runs:</w:t>
      </w:r>
    </w:p>
    <w:p>
      <w:pPr>
        <w:pStyle w:val="ListParagraph"/>
        <w:numPr>
          <w:ilvl w:val="0"/>
          <w:numId w:val="2"/>
        </w:numPr>
        <w:spacing w:after="40" w:before="40" w:line="280"/>
      </w:pPr>
      <w:r>
        <w:rPr>
          <w:sz w:val="22"/>
          <w:szCs w:val="22"/>
        </w:rPr>
        <w:t xml:space="preserve">Stop-loss closure on LEAPS — ticker flagged for 30 days; new opportunities on this ticker get a caution flag but are not suppressed.</w:t>
      </w:r>
    </w:p>
    <w:p>
      <w:pPr>
        <w:pStyle w:val="ListParagraph"/>
        <w:numPr>
          <w:ilvl w:val="0"/>
          <w:numId w:val="2"/>
        </w:numPr>
        <w:spacing w:after="40" w:before="40" w:line="280"/>
      </w:pPr>
      <w:r>
        <w:rPr>
          <w:sz w:val="22"/>
          <w:szCs w:val="22"/>
        </w:rPr>
        <w:t xml:space="preserve">CSP assignment with stock holding — module suggests the user evaluate wheel-50/100/200 for the holding instead.</w:t>
      </w:r>
    </w:p>
    <w:p>
      <w:pPr>
        <w:pStyle w:val="ListParagraph"/>
        <w:numPr>
          <w:ilvl w:val="0"/>
          <w:numId w:val="2"/>
        </w:numPr>
        <w:spacing w:after="40" w:before="40" w:line="280"/>
      </w:pPr>
      <w:r>
        <w:rPr>
          <w:sz w:val="22"/>
          <w:szCs w:val="22"/>
        </w:rPr>
        <w:t xml:space="preserve">Catastrophe rule triggered — ticker flagged for 90 days; reassess fundamentals before re-entry.</w:t>
      </w:r>
    </w:p>
    <w:p>
      <w:pPr>
        <w:pStyle w:val="ListParagraph"/>
        <w:numPr>
          <w:ilvl w:val="0"/>
          <w:numId w:val="2"/>
        </w:numPr>
        <w:spacing w:after="40" w:before="40" w:line="280"/>
      </w:pPr>
      <w:r>
        <w:rPr>
          <w:sz w:val="22"/>
          <w:szCs w:val="22"/>
        </w:rPr>
        <w:t xml:space="preserve">These flags are informational. The user decides whether to act on them.</w:t>
      </w:r>
    </w:p>
    <w:p>
      <w:r>
        <w:br w:type="page"/>
      </w:r>
    </w:p>
    <w:p>
      <w:pPr>
        <w:pStyle w:val="Heading1"/>
        <w:spacing w:after="180" w:before="360"/>
      </w:pPr>
      <w:r>
        <w:rPr>
          <w:b/>
          <w:bCs/>
          <w:color w:val="1F4E78"/>
          <w:sz w:val="36"/>
          <w:szCs w:val="36"/>
        </w:rPr>
        <w:t xml:space="preserve">8. Next-Leg Variable Recommendations</w:t>
      </w:r>
    </w:p>
    <w:p>
      <w:pPr>
        <w:spacing w:after="60" w:before="60" w:line="300"/>
      </w:pPr>
      <w:r>
        <w:t xml:space="preserve">The dashboard includes a "next leg" panel that pre-computes the variables needed for the user's next action on an opened opportunity. The module computes these; the user executes.</w:t>
      </w:r>
    </w:p>
    <w:p>
      <w:pPr>
        <w:pStyle w:val="Heading2"/>
        <w:spacing w:after="140" w:before="280"/>
      </w:pPr>
      <w:r>
        <w:rPr>
          <w:b/>
          <w:bCs/>
          <w:color w:val="2E75B6"/>
          <w:sz w:val="28"/>
          <w:szCs w:val="28"/>
        </w:rPr>
        <w:t xml:space="preserve">8.1 LEAPS Roll Candidates</w:t>
      </w:r>
    </w:p>
    <w:p>
      <w:pPr>
        <w:spacing w:after="60" w:before="60" w:line="300"/>
      </w:pPr>
      <w:r>
        <w:t xml:space="preserve">When the LEAPS hits 90 DTE OR delta &gt;0.95, the dashboard surfaces three roll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Field</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Source</w:t>
            </w:r>
          </w:p>
        </w:tc>
        <w:tc>
          <w:tcPr>
            <w:tcW w:type="dxa" w:w="44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Notes</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Roll-out target expiry</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Polygon chain</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12–18 months out from today</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Roll-out strikes (3 candidates)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Polygon chain filtered by delta band 0.75–0.85</w:t>
            </w:r>
          </w:p>
        </w:tc>
        <w:tc>
          <w:tcPr>
            <w:tcW w:type="dxa" w:w="4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Show delta, premium, extrinsic %</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Net debit/credit per roll candidate</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Computed</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(new contract ask) − (current contract bid)</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Cash required (or freed) per candidate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Computed</w:t>
            </w:r>
          </w:p>
        </w:tc>
        <w:tc>
          <w:tcPr>
            <w:tcW w:type="dxa" w:w="4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User decides if the change is acceptable</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IVR at new expiry</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Computed from IV history</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Flag if &gt;60</w:t>
            </w:r>
          </w:p>
        </w:tc>
      </w:tr>
    </w:tbl>
    <w:p>
      <w:pPr>
        <w:spacing w:after="120" w:before="120"/>
      </w:pPr>
      <w:r>
        <w:t xml:space="preserve"/>
      </w:r>
    </w:p>
    <w:p>
      <w:pPr>
        <w:pStyle w:val="Heading2"/>
        <w:spacing w:after="140" w:before="280"/>
      </w:pPr>
      <w:r>
        <w:rPr>
          <w:b/>
          <w:bCs/>
          <w:color w:val="2E75B6"/>
          <w:sz w:val="28"/>
          <w:szCs w:val="28"/>
        </w:rPr>
        <w:t xml:space="preserve">8.2 CSP Next-Cycle Candidates</w:t>
      </w:r>
    </w:p>
    <w:p>
      <w:pPr>
        <w:spacing w:after="60" w:before="60" w:line="300"/>
      </w:pPr>
      <w:r>
        <w:t xml:space="preserve">When the CSP hits 50% profit OR 21 DTE, the dashboard surfaces three next-cycle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Field</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Source</w:t>
            </w:r>
          </w:p>
        </w:tc>
        <w:tc>
          <w:tcPr>
            <w:tcW w:type="dxa" w:w="44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Notes</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Same-ticker continuation</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Polygon chain</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Next 30–45 DTE expiry on same underlying</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Alternative-ticker candidates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Top 2 from screener at this moment</w:t>
            </w:r>
          </w:p>
        </w:tc>
        <w:tc>
          <w:tcPr>
            <w:tcW w:type="dxa" w:w="4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Different tickers that score higher than same-ticker option</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Premium and annualized return</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Computed per candidate</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Pure quality metric, no capital filter</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IVR snapshot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Computed</w:t>
            </w:r>
          </w:p>
        </w:tc>
        <w:tc>
          <w:tcPr>
            <w:tcW w:type="dxa" w:w="4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Prefer &gt;35</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Days to next earnings on each candidate</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Polygon earnings calendar</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Must be &gt;14 days</w:t>
            </w:r>
          </w:p>
        </w:tc>
      </w:tr>
    </w:tbl>
    <w:p>
      <w:pPr>
        <w:spacing w:after="120" w:before="120"/>
      </w:pPr>
      <w:r>
        <w:t xml:space="preserve"/>
      </w:r>
    </w:p>
    <w:p>
      <w:pPr>
        <w:pStyle w:val="Heading2"/>
        <w:spacing w:after="140" w:before="280"/>
      </w:pPr>
      <w:r>
        <w:rPr>
          <w:b/>
          <w:bCs/>
          <w:color w:val="2E75B6"/>
          <w:sz w:val="28"/>
          <w:szCs w:val="28"/>
        </w:rPr>
        <w:t xml:space="preserve">8.3 Position Conversion Variables</w:t>
      </w:r>
    </w:p>
    <w:p>
      <w:pPr>
        <w:spacing w:after="60" w:before="60" w:line="300"/>
      </w:pPr>
      <w:r>
        <w:t xml:space="preserve">If conditions warrant restructuring (e.g., LEAPS delta high enough to consider taking profits, or CSP heading to assignment), the panel offers:</w:t>
      </w:r>
    </w:p>
    <w:p>
      <w:pPr>
        <w:pStyle w:val="ListParagraph"/>
        <w:numPr>
          <w:ilvl w:val="0"/>
          <w:numId w:val="2"/>
        </w:numPr>
        <w:spacing w:after="40" w:before="40" w:line="280"/>
      </w:pPr>
      <w:r>
        <w:rPr>
          <w:sz w:val="22"/>
          <w:szCs w:val="22"/>
        </w:rPr>
        <w:t xml:space="preserve">Convert LEAPS to vertical spread (sell OTM call against the LEAPS to lock in profit and reduce delta — note: this becomes a PMCC and routes to advanced-options for ongoing management).</w:t>
      </w:r>
    </w:p>
    <w:p>
      <w:pPr>
        <w:pStyle w:val="ListParagraph"/>
        <w:numPr>
          <w:ilvl w:val="0"/>
          <w:numId w:val="2"/>
        </w:numPr>
        <w:spacing w:after="40" w:before="40" w:line="280"/>
      </w:pPr>
      <w:r>
        <w:rPr>
          <w:sz w:val="22"/>
          <w:szCs w:val="22"/>
        </w:rPr>
        <w:t xml:space="preserve">Take CSP assignment and pivot the ticker to wheel-50/100/200 based on resulting share price.</w:t>
      </w:r>
    </w:p>
    <w:p>
      <w:pPr>
        <w:pStyle w:val="ListParagraph"/>
        <w:numPr>
          <w:ilvl w:val="0"/>
          <w:numId w:val="2"/>
        </w:numPr>
        <w:spacing w:after="40" w:before="40" w:line="280"/>
      </w:pPr>
      <w:r>
        <w:rPr>
          <w:sz w:val="22"/>
          <w:szCs w:val="22"/>
        </w:rPr>
        <w:t xml:space="preserve">Close LEAPS entirely if delta is approaching 1.0 and consider a fresh 0.78 delta LEAPS on the same or a better-scoring ticker.</w:t>
      </w:r>
    </w:p>
    <w:p>
      <w:pPr>
        <w:pStyle w:val="ListParagraph"/>
        <w:numPr>
          <w:ilvl w:val="0"/>
          <w:numId w:val="2"/>
        </w:numPr>
        <w:spacing w:after="40" w:before="40" w:line="280"/>
      </w:pPr>
      <w:r>
        <w:rPr>
          <w:sz w:val="22"/>
          <w:szCs w:val="22"/>
        </w:rPr>
        <w:t xml:space="preserve">Pair both legs into a collar by adding a long OTM put against the LEAPS (defined-risk variant).</w:t>
      </w:r>
    </w:p>
    <w:p>
      <w:r>
        <w:br w:type="page"/>
      </w:r>
    </w:p>
    <w:p>
      <w:pPr>
        <w:pStyle w:val="Heading1"/>
        <w:spacing w:after="180" w:before="360"/>
      </w:pPr>
      <w:r>
        <w:rPr>
          <w:b/>
          <w:bCs/>
          <w:color w:val="1F4E78"/>
          <w:sz w:val="36"/>
          <w:szCs w:val="36"/>
        </w:rPr>
        <w:t xml:space="preserve">9. Output Artifacts</w:t>
      </w:r>
    </w:p>
    <w:p>
      <w:pPr>
        <w:pStyle w:val="Heading2"/>
        <w:spacing w:after="140" w:before="280"/>
      </w:pPr>
      <w:r>
        <w:rPr>
          <w:b/>
          <w:bCs/>
          <w:color w:val="2E75B6"/>
          <w:sz w:val="28"/>
          <w:szCs w:val="28"/>
        </w:rPr>
        <w:t xml:space="preserve">9.1 Ranked Opportunity Table Schema</w:t>
      </w:r>
    </w:p>
    <w:p>
      <w:pPr>
        <w:spacing w:after="60" w:before="60" w:line="300"/>
      </w:pPr>
      <w:r>
        <w:t xml:space="preserve">Add to outputs/leaps-csp-watchlist-schema.md. One row per ranked opportunity. The table is sorted by combined score, descending. All qualifying opportunities are included (no truncation by count, capital, or quality below F-grade). A user-controllable filter toggles whether C and F grades are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Column</w:t>
            </w:r>
          </w:p>
        </w:tc>
        <w:tc>
          <w:tcPr>
            <w:tcW w:type="dxa" w:w="15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Type</w:t>
            </w:r>
          </w:p>
        </w:tc>
        <w:tc>
          <w:tcPr>
            <w:tcW w:type="dxa" w:w="5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Source / Format</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Rank</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Integer</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1, 2, 3… (ordering by combined score descending)</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LEAPS Ticker</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String</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Underlying for Leg A</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LEAPS Strike</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Currency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From chain</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LEAPS Expiry</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Date</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YYYY-MM-DD</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LEAPS Delta</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Decimal</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From greeks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LEAPS Premium</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Currency</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Mid price × 100 (per contract)</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LEAPS Extrinsic %</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Percent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Computed</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LEAPS Sub-Score</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0–10</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Per section 5.1</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CSP Ticker</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String</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Same or different from LEAPS ticker</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CSP Strike</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Currency</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From chain</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CSP Expiry</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Date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YYYY-MM-DD</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CSP Delta</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Decimal</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Negative value</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CSP Premium</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Currency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Per contract</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CSP Collateral Required</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Currency</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Strike × 100 (reported, not used as a filter)</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CSP Ann. Return %</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Percent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Computed</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CSP Sub-Score</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0–10</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Per section 5.2</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Combined Score</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0–10</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Per section 5.3</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Grade</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A+/A/B/C/F</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Per section 5.4</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Caution Flags</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List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Comma-separated codes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Total Cash to Deploy</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Currency</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LEAPS premium + CSP collateral (reported for user to evaluate)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2F8" w:val="clear"/>
            <w:tcMar>
              <w:top w:type="dxa" w:w="160"/>
              <w:left w:type="dxa" w:w="200"/>
              <w:bottom w:type="dxa" w:w="160"/>
              <w:right w:type="dxa" w:w="200"/>
            </w:tcMar>
          </w:tcPr>
          <w:p>
            <w:pPr>
              <w:spacing w:after="80" w:before="40"/>
            </w:pPr>
            <w:r>
              <w:rPr>
                <w:b/>
                <w:bCs/>
                <w:color w:val="2E75B6"/>
                <w:sz w:val="22"/>
                <w:szCs w:val="22"/>
              </w:rPr>
              <w:t xml:space="preserve">Capital fields are reported, not enforced</w:t>
            </w:r>
          </w:p>
          <w:p>
            <w:pPr>
              <w:spacing w:after="40" w:before="40" w:line="280"/>
            </w:pPr>
            <w:r>
              <w:rPr>
                <w:sz w:val="22"/>
                <w:szCs w:val="22"/>
              </w:rPr>
              <w:t xml:space="preserve">"CSP Collateral Required" and "Total Cash to Deploy" exist so the user can scan affordability at a glance. They are NEVER used to filter or downgrade an opportunity. A row with $50,000 total cash deployment can sit next to a row with $5,000 total cash deployment, and both can rank A+ if the underlying quality justifies it.</w:t>
            </w:r>
          </w:p>
        </w:tc>
      </w:tr>
    </w:tbl>
    <w:p>
      <w:pPr>
        <w:pStyle w:val="Heading2"/>
        <w:spacing w:after="140" w:before="280"/>
      </w:pPr>
      <w:r>
        <w:rPr>
          <w:b/>
          <w:bCs/>
          <w:color w:val="2E75B6"/>
          <w:sz w:val="28"/>
          <w:szCs w:val="28"/>
        </w:rPr>
        <w:t xml:space="preserve">9.2 Per-Opportunity Validation Dashboard</w:t>
      </w:r>
    </w:p>
    <w:p>
      <w:pPr>
        <w:spacing w:after="60" w:before="60" w:line="300"/>
      </w:pPr>
      <w:r>
        <w:t xml:space="preserve">Add to outputs/leaps-csp-dashboard-schema.md. One dashboard per opportunity. Sections:</w:t>
      </w:r>
    </w:p>
    <w:p>
      <w:pPr>
        <w:pStyle w:val="ListParagraph"/>
        <w:numPr>
          <w:ilvl w:val="0"/>
          <w:numId w:val="3"/>
        </w:numPr>
        <w:spacing w:after="40" w:before="40" w:line="280"/>
      </w:pPr>
      <w:r>
        <w:rPr>
          <w:sz w:val="22"/>
          <w:szCs w:val="22"/>
        </w:rPr>
        <w:t xml:space="preserve">Header — ticker(s), combined score, grade, market gate state.</w:t>
      </w:r>
    </w:p>
    <w:p>
      <w:pPr>
        <w:pStyle w:val="ListParagraph"/>
        <w:numPr>
          <w:ilvl w:val="0"/>
          <w:numId w:val="3"/>
        </w:numPr>
        <w:spacing w:after="40" w:before="40" w:line="280"/>
      </w:pPr>
      <w:r>
        <w:rPr>
          <w:sz w:val="22"/>
          <w:szCs w:val="22"/>
        </w:rPr>
        <w:t xml:space="preserve">LEAPS Leg Panel — contract details, sub-score breakdown, scoring component table, caution flags.</w:t>
      </w:r>
    </w:p>
    <w:p>
      <w:pPr>
        <w:pStyle w:val="ListParagraph"/>
        <w:numPr>
          <w:ilvl w:val="0"/>
          <w:numId w:val="3"/>
        </w:numPr>
        <w:spacing w:after="40" w:before="40" w:line="280"/>
      </w:pPr>
      <w:r>
        <w:rPr>
          <w:sz w:val="22"/>
          <w:szCs w:val="22"/>
        </w:rPr>
        <w:t xml:space="preserve">CSP Leg Panel — same structure as LEAPS panel for the CSP leg.</w:t>
      </w:r>
    </w:p>
    <w:p>
      <w:pPr>
        <w:pStyle w:val="ListParagraph"/>
        <w:numPr>
          <w:ilvl w:val="0"/>
          <w:numId w:val="3"/>
        </w:numPr>
        <w:spacing w:after="40" w:before="40" w:line="280"/>
      </w:pPr>
      <w:r>
        <w:rPr>
          <w:sz w:val="22"/>
          <w:szCs w:val="22"/>
        </w:rPr>
        <w:t xml:space="preserve">Greeks Roll-up — combined delta, theta, vega for the opportunity. Theta should be positive overall (CSP theta &gt; LEAPS theta decay).</w:t>
      </w:r>
    </w:p>
    <w:p>
      <w:pPr>
        <w:pStyle w:val="ListParagraph"/>
        <w:numPr>
          <w:ilvl w:val="0"/>
          <w:numId w:val="3"/>
        </w:numPr>
        <w:spacing w:after="40" w:before="40" w:line="280"/>
      </w:pPr>
      <w:r>
        <w:rPr>
          <w:sz w:val="22"/>
          <w:szCs w:val="22"/>
        </w:rPr>
        <w:t xml:space="preserve">P&amp;L Scenarios — table showing combined P&amp;L at +20%, +10%, flat, −10%, −20% price moves at three time horizons (30d, 90d, expiry of nearest leg).</w:t>
      </w:r>
    </w:p>
    <w:p>
      <w:pPr>
        <w:pStyle w:val="ListParagraph"/>
        <w:numPr>
          <w:ilvl w:val="0"/>
          <w:numId w:val="3"/>
        </w:numPr>
        <w:spacing w:after="40" w:before="40" w:line="280"/>
      </w:pPr>
      <w:r>
        <w:rPr>
          <w:sz w:val="22"/>
          <w:szCs w:val="22"/>
        </w:rPr>
        <w:t xml:space="preserve">Alternative Pairings — top 2 alternative CSP pairings (same LEAPS, different CSP) with their combined scores.</w:t>
      </w:r>
    </w:p>
    <w:p>
      <w:pPr>
        <w:pStyle w:val="ListParagraph"/>
        <w:numPr>
          <w:ilvl w:val="0"/>
          <w:numId w:val="3"/>
        </w:numPr>
        <w:spacing w:after="40" w:before="40" w:line="280"/>
      </w:pPr>
      <w:r>
        <w:rPr>
          <w:sz w:val="22"/>
          <w:szCs w:val="22"/>
        </w:rPr>
        <w:t xml:space="preserve">Exit Rules Active — checklist of section 7 rules. (Only displayed for user-marked-opened opportunities.)</w:t>
      </w:r>
    </w:p>
    <w:p>
      <w:pPr>
        <w:pStyle w:val="ListParagraph"/>
        <w:numPr>
          <w:ilvl w:val="0"/>
          <w:numId w:val="3"/>
        </w:numPr>
        <w:spacing w:after="40" w:before="40" w:line="280"/>
      </w:pPr>
      <w:r>
        <w:rPr>
          <w:sz w:val="22"/>
          <w:szCs w:val="22"/>
        </w:rPr>
        <w:t xml:space="preserve">Next-Leg Variables — pre-populated per section 8 (also only for opened opportunities).</w:t>
      </w:r>
    </w:p>
    <w:p>
      <w:pPr>
        <w:pStyle w:val="ListParagraph"/>
        <w:numPr>
          <w:ilvl w:val="0"/>
          <w:numId w:val="3"/>
        </w:numPr>
        <w:spacing w:after="40" w:before="40" w:line="280"/>
      </w:pPr>
      <w:r>
        <w:rPr>
          <w:sz w:val="22"/>
          <w:szCs w:val="22"/>
        </w:rPr>
        <w:t xml:space="preserve">Audit Trail — every field tagged with source (Polygon-live, computed, estimated, unavailable).</w:t>
      </w:r>
    </w:p>
    <w:p>
      <w:pPr>
        <w:pStyle w:val="Heading2"/>
        <w:spacing w:after="140" w:before="280"/>
      </w:pPr>
      <w:r>
        <w:rPr>
          <w:b/>
          <w:bCs/>
          <w:color w:val="2E75B6"/>
          <w:sz w:val="28"/>
          <w:szCs w:val="28"/>
        </w:rPr>
        <w:t xml:space="preserve">9.3 File Outputs</w:t>
      </w:r>
    </w:p>
    <w:p>
      <w:pPr>
        <w:pStyle w:val="ListParagraph"/>
        <w:numPr>
          <w:ilvl w:val="0"/>
          <w:numId w:val="2"/>
        </w:numPr>
        <w:spacing w:after="40" w:before="40" w:line="280"/>
      </w:pPr>
      <w:r>
        <w:rPr>
          <w:sz w:val="22"/>
          <w:szCs w:val="22"/>
        </w:rPr>
        <w:t xml:space="preserve">Excel workbook (.xlsx) — ranked opportunity tab + one tab per opportunity dashboard (top N by score, with full set accessible via a separate tab).</w:t>
      </w:r>
    </w:p>
    <w:p>
      <w:pPr>
        <w:pStyle w:val="ListParagraph"/>
        <w:numPr>
          <w:ilvl w:val="0"/>
          <w:numId w:val="2"/>
        </w:numPr>
        <w:spacing w:after="40" w:before="40" w:line="280"/>
      </w:pPr>
      <w:r>
        <w:rPr>
          <w:sz w:val="22"/>
          <w:szCs w:val="22"/>
        </w:rPr>
        <w:t xml:space="preserve">Word document (.docx) — formal report version for review/archival.</w:t>
      </w:r>
    </w:p>
    <w:p>
      <w:pPr>
        <w:pStyle w:val="ListParagraph"/>
        <w:numPr>
          <w:ilvl w:val="0"/>
          <w:numId w:val="2"/>
        </w:numPr>
        <w:spacing w:after="40" w:before="40" w:line="280"/>
      </w:pPr>
      <w:r>
        <w:rPr>
          <w:sz w:val="22"/>
          <w:szCs w:val="22"/>
        </w:rPr>
        <w:t xml:space="preserve">Optional React dashboard component — for in-app rendering, using existing react-dashboard-design.md conventions.</w:t>
      </w:r>
    </w:p>
    <w:p>
      <w:pPr>
        <w:pStyle w:val="Heading2"/>
        <w:spacing w:after="140" w:before="280"/>
      </w:pPr>
      <w:r>
        <w:rPr>
          <w:b/>
          <w:bCs/>
          <w:color w:val="2E75B6"/>
          <w:sz w:val="28"/>
          <w:szCs w:val="28"/>
        </w:rPr>
        <w:t xml:space="preserve">9.4 View Modes (User-Selectable)</w:t>
      </w:r>
    </w:p>
    <w:p>
      <w:pPr>
        <w:spacing w:after="60" w:before="60" w:line="300"/>
      </w:pPr>
      <w:r>
        <w:t xml:space="preserve">The watchlist UI supports the following toggles. None of them alter the underlying scoring or candidate set — they only affect display:</w:t>
      </w:r>
    </w:p>
    <w:p>
      <w:pPr>
        <w:pStyle w:val="ListParagraph"/>
        <w:numPr>
          <w:ilvl w:val="0"/>
          <w:numId w:val="2"/>
        </w:numPr>
        <w:spacing w:after="40" w:before="40" w:line="280"/>
      </w:pPr>
      <w:r>
        <w:rPr>
          <w:sz w:val="22"/>
          <w:szCs w:val="22"/>
        </w:rPr>
        <w:t xml:space="preserve">Grade filter (default: A+, A, B; toggleable to include C and F).</w:t>
      </w:r>
    </w:p>
    <w:p>
      <w:pPr>
        <w:pStyle w:val="ListParagraph"/>
        <w:numPr>
          <w:ilvl w:val="0"/>
          <w:numId w:val="2"/>
        </w:numPr>
        <w:spacing w:after="40" w:before="40" w:line="280"/>
      </w:pPr>
      <w:r>
        <w:rPr>
          <w:sz w:val="22"/>
          <w:szCs w:val="22"/>
        </w:rPr>
        <w:t xml:space="preserve">Pairing mode display (default: best pair only; toggleable to show same-ticker and cross-ticker side by side).</w:t>
      </w:r>
    </w:p>
    <w:p>
      <w:pPr>
        <w:pStyle w:val="ListParagraph"/>
        <w:numPr>
          <w:ilvl w:val="0"/>
          <w:numId w:val="2"/>
        </w:numPr>
        <w:spacing w:after="40" w:before="40" w:line="280"/>
      </w:pPr>
      <w:r>
        <w:rPr>
          <w:sz w:val="22"/>
          <w:szCs w:val="22"/>
        </w:rPr>
        <w:t xml:space="preserve">Sort field (default: combined score; alternatives: LEAPS sub-score, CSP sub-score, annualized return on CSP, premium ascending, premium descending).</w:t>
      </w:r>
    </w:p>
    <w:p>
      <w:pPr>
        <w:pStyle w:val="ListParagraph"/>
        <w:numPr>
          <w:ilvl w:val="0"/>
          <w:numId w:val="2"/>
        </w:numPr>
        <w:spacing w:after="40" w:before="40" w:line="280"/>
      </w:pPr>
      <w:r>
        <w:rPr>
          <w:sz w:val="22"/>
          <w:szCs w:val="22"/>
        </w:rPr>
        <w:t xml:space="preserve">Sector grouping (default: flat list; toggleable to group by sector for users who want sector-level scanning).</w:t>
      </w:r>
    </w:p>
    <w:p>
      <w:r>
        <w:br w:type="page"/>
      </w:r>
    </w:p>
    <w:p>
      <w:pPr>
        <w:pStyle w:val="Heading1"/>
        <w:spacing w:after="180" w:before="360"/>
      </w:pPr>
      <w:r>
        <w:rPr>
          <w:b/>
          <w:bCs/>
          <w:color w:val="1F4E78"/>
          <w:sz w:val="36"/>
          <w:szCs w:val="36"/>
        </w:rPr>
        <w:t xml:space="preserve">10. Data Requirements (Polygon.io)</w:t>
      </w:r>
    </w:p>
    <w:p>
      <w:pPr>
        <w:pStyle w:val="Heading2"/>
        <w:spacing w:after="140" w:before="280"/>
      </w:pPr>
      <w:r>
        <w:rPr>
          <w:b/>
          <w:bCs/>
          <w:color w:val="2E75B6"/>
          <w:sz w:val="28"/>
          <w:szCs w:val="28"/>
        </w:rPr>
        <w:t xml:space="preserve">10.1 Required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Endpoint</w:t>
            </w:r>
          </w:p>
        </w:tc>
        <w:tc>
          <w:tcPr>
            <w:tcW w:type="dxa" w:w="3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Purpose</w:t>
            </w:r>
          </w:p>
        </w:tc>
        <w:tc>
          <w:tcPr>
            <w:tcW w:type="dxa" w:w="2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Frequency</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/v2/aggs/ticker/{ticker}/range/1/day/{from}/{to}</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Daily bars for MAs, ATR, recent move detection</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Daily refresh, 252+ days history</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/v2/snapshot/locale/us/markets/stocks/tickers/{ticker}</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Current price, day change</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On-demand per screening run</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/v3/snapshot/options/{underlyingAsset}</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Full options chain with greeks, IV, OI, volume</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Per screening run, per candidate</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/v3/reference/options/contracts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Contract metadata, expiry list</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Daily</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/vX/reference/financials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Fundamental data (for file 05 grading)</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Quarterly</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/v3/reference/tickers/{ticker}</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Sector, market cap, share class info</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Weekly</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Earnings calendar (via Polygon or supplementary feed)</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14-day earnings gate</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Daily</w:t>
            </w:r>
          </w:p>
        </w:tc>
      </w:tr>
    </w:tbl>
    <w:p>
      <w:pPr>
        <w:spacing w:after="120" w:before="120"/>
      </w:pPr>
      <w:r>
        <w:t xml:space="preserve"/>
      </w:r>
    </w:p>
    <w:p>
      <w:pPr>
        <w:pStyle w:val="Heading2"/>
        <w:spacing w:after="140" w:before="280"/>
      </w:pPr>
      <w:r>
        <w:rPr>
          <w:b/>
          <w:bCs/>
          <w:color w:val="2E75B6"/>
          <w:sz w:val="28"/>
          <w:szCs w:val="28"/>
        </w:rPr>
        <w:t xml:space="preserve">10.2 Computed Fields (Not from Polygon)</w:t>
      </w:r>
    </w:p>
    <w:p>
      <w:pPr>
        <w:pStyle w:val="ListParagraph"/>
        <w:numPr>
          <w:ilvl w:val="0"/>
          <w:numId w:val="2"/>
        </w:numPr>
        <w:spacing w:after="40" w:before="40" w:line="280"/>
      </w:pPr>
      <w:r>
        <w:rPr>
          <w:sz w:val="22"/>
          <w:szCs w:val="22"/>
        </w:rPr>
        <w:t xml:space="preserve">IV Rank (252-day) — computed from underlying IV30 history.</w:t>
      </w:r>
    </w:p>
    <w:p>
      <w:pPr>
        <w:pStyle w:val="ListParagraph"/>
        <w:numPr>
          <w:ilvl w:val="0"/>
          <w:numId w:val="2"/>
        </w:numPr>
        <w:spacing w:after="40" w:before="40" w:line="280"/>
      </w:pPr>
      <w:r>
        <w:rPr>
          <w:sz w:val="22"/>
          <w:szCs w:val="22"/>
        </w:rPr>
        <w:t xml:space="preserve">50-day and 200-day moving averages — computed from daily bars.</w:t>
      </w:r>
    </w:p>
    <w:p>
      <w:pPr>
        <w:pStyle w:val="ListParagraph"/>
        <w:numPr>
          <w:ilvl w:val="0"/>
          <w:numId w:val="2"/>
        </w:numPr>
        <w:spacing w:after="40" w:before="40" w:line="280"/>
      </w:pPr>
      <w:r>
        <w:rPr>
          <w:sz w:val="22"/>
          <w:szCs w:val="22"/>
        </w:rPr>
        <w:t xml:space="preserve">Death-cross / golden-cross state — derived from MA cross history.</w:t>
      </w:r>
    </w:p>
    <w:p>
      <w:pPr>
        <w:pStyle w:val="ListParagraph"/>
        <w:numPr>
          <w:ilvl w:val="0"/>
          <w:numId w:val="2"/>
        </w:numPr>
        <w:spacing w:after="40" w:before="40" w:line="280"/>
      </w:pPr>
      <w:r>
        <w:rPr>
          <w:sz w:val="22"/>
          <w:szCs w:val="22"/>
        </w:rPr>
        <w:t xml:space="preserve">HYG/IEF ratio for credit spreads — computed from two ETF snapshots.</w:t>
      </w:r>
    </w:p>
    <w:p>
      <w:pPr>
        <w:pStyle w:val="ListParagraph"/>
        <w:numPr>
          <w:ilvl w:val="0"/>
          <w:numId w:val="2"/>
        </w:numPr>
        <w:spacing w:after="40" w:before="40" w:line="280"/>
      </w:pPr>
      <w:r>
        <w:rPr>
          <w:sz w:val="22"/>
          <w:szCs w:val="22"/>
        </w:rPr>
        <w:t xml:space="preserve">Extrinsic value % — (premium − intrinsic) / premium.</w:t>
      </w:r>
    </w:p>
    <w:p>
      <w:pPr>
        <w:pStyle w:val="ListParagraph"/>
        <w:numPr>
          <w:ilvl w:val="0"/>
          <w:numId w:val="2"/>
        </w:numPr>
        <w:spacing w:after="40" w:before="40" w:line="280"/>
      </w:pPr>
      <w:r>
        <w:rPr>
          <w:sz w:val="22"/>
          <w:szCs w:val="22"/>
        </w:rPr>
        <w:t xml:space="preserve">Annualized return on CSP collateral — (premium / strike) × (365 / DTE) × 100.</w:t>
      </w:r>
    </w:p>
    <w:p>
      <w:pPr>
        <w:pStyle w:val="ListParagraph"/>
        <w:numPr>
          <w:ilvl w:val="0"/>
          <w:numId w:val="2"/>
        </w:numPr>
        <w:spacing w:after="40" w:before="40" w:line="280"/>
      </w:pPr>
      <w:r>
        <w:rPr>
          <w:sz w:val="22"/>
          <w:szCs w:val="22"/>
        </w:rPr>
        <w:t xml:space="preserve">Combined opportunity greeks — sum of LEAPS greeks + CSP greeks (CSP delta is negative for shorts; theta is positive for short premium).</w:t>
      </w:r>
    </w:p>
    <w:p>
      <w:pPr>
        <w:pStyle w:val="Heading2"/>
        <w:spacing w:after="140" w:before="280"/>
      </w:pPr>
      <w:r>
        <w:rPr>
          <w:b/>
          <w:bCs/>
          <w:color w:val="2E75B6"/>
          <w:sz w:val="28"/>
          <w:szCs w:val="28"/>
        </w:rPr>
        <w:t xml:space="preserve">10.3 Caching Strategy</w:t>
      </w:r>
    </w:p>
    <w:p>
      <w:pPr>
        <w:spacing w:after="60" w:before="60" w:line="300"/>
      </w:pPr>
      <w:r>
        <w:t xml:space="preserve">To minimize Polygon API usage:</w:t>
      </w:r>
    </w:p>
    <w:p>
      <w:pPr>
        <w:pStyle w:val="ListParagraph"/>
        <w:numPr>
          <w:ilvl w:val="0"/>
          <w:numId w:val="2"/>
        </w:numPr>
        <w:spacing w:after="40" w:before="40" w:line="280"/>
      </w:pPr>
      <w:r>
        <w:rPr>
          <w:sz w:val="22"/>
          <w:szCs w:val="22"/>
        </w:rPr>
        <w:t xml:space="preserve">Cache daily bars for 24 hours.</w:t>
      </w:r>
    </w:p>
    <w:p>
      <w:pPr>
        <w:pStyle w:val="ListParagraph"/>
        <w:numPr>
          <w:ilvl w:val="0"/>
          <w:numId w:val="2"/>
        </w:numPr>
        <w:spacing w:after="40" w:before="40" w:line="280"/>
      </w:pPr>
      <w:r>
        <w:rPr>
          <w:sz w:val="22"/>
          <w:szCs w:val="22"/>
        </w:rPr>
        <w:t xml:space="preserve">Cache options chains for 15 minutes during market hours.</w:t>
      </w:r>
    </w:p>
    <w:p>
      <w:pPr>
        <w:pStyle w:val="ListParagraph"/>
        <w:numPr>
          <w:ilvl w:val="0"/>
          <w:numId w:val="2"/>
        </w:numPr>
        <w:spacing w:after="40" w:before="40" w:line="280"/>
      </w:pPr>
      <w:r>
        <w:rPr>
          <w:sz w:val="22"/>
          <w:szCs w:val="22"/>
        </w:rPr>
        <w:t xml:space="preserve">Cache fundamentals for 7 days.</w:t>
      </w:r>
    </w:p>
    <w:p>
      <w:pPr>
        <w:pStyle w:val="ListParagraph"/>
        <w:numPr>
          <w:ilvl w:val="0"/>
          <w:numId w:val="2"/>
        </w:numPr>
        <w:spacing w:after="40" w:before="40" w:line="280"/>
      </w:pPr>
      <w:r>
        <w:rPr>
          <w:sz w:val="22"/>
          <w:szCs w:val="22"/>
        </w:rPr>
        <w:t xml:space="preserve">Always bypass cache for: market gate header, current snapshot, watchlist-row prices at output time.</w:t>
      </w:r>
    </w:p>
    <w:p>
      <w:pPr>
        <w:pStyle w:val="Heading2"/>
        <w:spacing w:after="140" w:before="280"/>
      </w:pPr>
      <w:r>
        <w:rPr>
          <w:b/>
          <w:bCs/>
          <w:color w:val="2E75B6"/>
          <w:sz w:val="28"/>
          <w:szCs w:val="28"/>
        </w:rPr>
        <w:t xml:space="preserve">10.4 Live Data Rule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BEAEA" w:val="clear"/>
            <w:tcMar>
              <w:top w:type="dxa" w:w="160"/>
              <w:left w:type="dxa" w:w="200"/>
              <w:bottom w:type="dxa" w:w="160"/>
              <w:right w:type="dxa" w:w="200"/>
            </w:tcMar>
          </w:tcPr>
          <w:p>
            <w:pPr>
              <w:spacing w:after="80" w:before="40"/>
            </w:pPr>
            <w:r>
              <w:rPr>
                <w:b/>
                <w:bCs/>
                <w:color w:val="C00000"/>
                <w:sz w:val="22"/>
                <w:szCs w:val="22"/>
              </w:rPr>
              <w:t xml:space="preserve">Mandatory</w:t>
            </w:r>
          </w:p>
          <w:p>
            <w:pPr>
              <w:spacing w:after="40" w:before="40" w:line="280"/>
            </w:pPr>
            <w:r>
              <w:rPr>
                <w:sz w:val="22"/>
                <w:szCs w:val="22"/>
              </w:rPr>
              <w:t xml:space="preserve">Per core/live-data-rule.md, every price, earnings date, MA level, and IV value in the final output must be sourced live during the run. Memory-recalled values are forbidden. Every field on every output sheet must carry a source label: Polygon-live, Polygon-cached (with cache timestamp), Computed, or Unavailable. If a required field is Unavailable, the candidate is treated as failing trade hard fails (file 04).</w:t>
            </w:r>
          </w:p>
        </w:tc>
      </w:tr>
    </w:tbl>
    <w:p>
      <w:r>
        <w:br w:type="page"/>
      </w:r>
    </w:p>
    <w:p>
      <w:pPr>
        <w:pStyle w:val="Heading1"/>
        <w:spacing w:after="180" w:before="360"/>
      </w:pPr>
      <w:r>
        <w:rPr>
          <w:b/>
          <w:bCs/>
          <w:color w:val="1F4E78"/>
          <w:sz w:val="36"/>
          <w:szCs w:val="36"/>
        </w:rPr>
        <w:t xml:space="preserve">11. Engineering Practices and UX Requirements</w:t>
      </w:r>
    </w:p>
    <w:p>
      <w:pPr>
        <w:pStyle w:val="Heading2"/>
        <w:spacing w:after="140" w:before="280"/>
      </w:pPr>
      <w:r>
        <w:rPr>
          <w:b/>
          <w:bCs/>
          <w:color w:val="2E75B6"/>
          <w:sz w:val="28"/>
          <w:szCs w:val="28"/>
        </w:rPr>
        <w:t xml:space="preserve">11.1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20" w:before="20" w:line="260"/>
            </w:pPr>
            <w:r>
              <w:rPr>
                <w:rFonts w:ascii="Consolas" w:cs="Consolas" w:eastAsia="Consolas" w:hAnsi="Consolas"/>
                <w:sz w:val="20"/>
                <w:szCs w:val="20"/>
              </w:rPr>
              <w:t xml:space="preserve">src/</w:t>
            </w:r>
          </w:p>
          <w:p>
            <w:pPr>
              <w:spacing w:after="20" w:before="20" w:line="260"/>
            </w:pPr>
            <w:r>
              <w:rPr>
                <w:rFonts w:ascii="Consolas" w:cs="Consolas" w:eastAsia="Consolas" w:hAnsi="Consolas"/>
                <w:sz w:val="20"/>
                <w:szCs w:val="20"/>
              </w:rPr>
              <w:t xml:space="preserve">  strategies/</w:t>
            </w:r>
          </w:p>
          <w:p>
            <w:pPr>
              <w:spacing w:after="20" w:before="20" w:line="260"/>
            </w:pPr>
            <w:r>
              <w:rPr>
                <w:rFonts w:ascii="Consolas" w:cs="Consolas" w:eastAsia="Consolas" w:hAnsi="Consolas"/>
                <w:sz w:val="20"/>
                <w:szCs w:val="20"/>
              </w:rPr>
              <w:t xml:space="preserve">    leaps_csp_replacement/</w:t>
            </w:r>
          </w:p>
          <w:p>
            <w:pPr>
              <w:spacing w:after="20" w:before="20" w:line="260"/>
            </w:pPr>
            <w:r>
              <w:rPr>
                <w:rFonts w:ascii="Consolas" w:cs="Consolas" w:eastAsia="Consolas" w:hAnsi="Consolas"/>
                <w:sz w:val="20"/>
                <w:szCs w:val="20"/>
              </w:rPr>
              <w:t xml:space="preserve">      __init__.py</w:t>
            </w:r>
          </w:p>
          <w:p>
            <w:pPr>
              <w:spacing w:after="20" w:before="20" w:line="260"/>
            </w:pPr>
            <w:r>
              <w:rPr>
                <w:rFonts w:ascii="Consolas" w:cs="Consolas" w:eastAsia="Consolas" w:hAnsi="Consolas"/>
                <w:sz w:val="20"/>
                <w:szCs w:val="20"/>
              </w:rPr>
              <w:t xml:space="preserve">      pipeline.py           # orchestrates screening 01–08</w:t>
            </w:r>
          </w:p>
          <w:p>
            <w:pPr>
              <w:spacing w:after="20" w:before="20" w:line="260"/>
            </w:pPr>
            <w:r>
              <w:rPr>
                <w:rFonts w:ascii="Consolas" w:cs="Consolas" w:eastAsia="Consolas" w:hAnsi="Consolas"/>
                <w:sz w:val="20"/>
                <w:szCs w:val="20"/>
              </w:rPr>
              <w:t xml:space="preserve">      leaps_filter.py       # Leg A contract selection + hard fails</w:t>
            </w:r>
          </w:p>
          <w:p>
            <w:pPr>
              <w:spacing w:after="20" w:before="20" w:line="260"/>
            </w:pPr>
            <w:r>
              <w:rPr>
                <w:rFonts w:ascii="Consolas" w:cs="Consolas" w:eastAsia="Consolas" w:hAnsi="Consolas"/>
                <w:sz w:val="20"/>
                <w:szCs w:val="20"/>
              </w:rPr>
              <w:t xml:space="preserve">      csp_filter.py         # Leg B contract selection + hard fails</w:t>
            </w:r>
          </w:p>
          <w:p>
            <w:pPr>
              <w:spacing w:after="20" w:before="20" w:line="260"/>
            </w:pPr>
            <w:r>
              <w:rPr>
                <w:rFonts w:ascii="Consolas" w:cs="Consolas" w:eastAsia="Consolas" w:hAnsi="Consolas"/>
                <w:sz w:val="20"/>
                <w:szCs w:val="20"/>
              </w:rPr>
              <w:t xml:space="preserve">      pairing.py            # pairs LEAPS with CSP, optimizes combined score</w:t>
            </w:r>
          </w:p>
          <w:p>
            <w:pPr>
              <w:spacing w:after="20" w:before="20" w:line="260"/>
            </w:pPr>
            <w:r>
              <w:rPr>
                <w:rFonts w:ascii="Consolas" w:cs="Consolas" w:eastAsia="Consolas" w:hAnsi="Consolas"/>
                <w:sz w:val="20"/>
                <w:szCs w:val="20"/>
              </w:rPr>
              <w:t xml:space="preserve">      scoring.py            # implements section 5</w:t>
            </w:r>
          </w:p>
          <w:p>
            <w:pPr>
              <w:spacing w:after="20" w:before="20" w:line="260"/>
            </w:pPr>
            <w:r>
              <w:rPr>
                <w:rFonts w:ascii="Consolas" w:cs="Consolas" w:eastAsia="Consolas" w:hAnsi="Consolas"/>
                <w:sz w:val="20"/>
                <w:szCs w:val="20"/>
              </w:rPr>
              <w:t xml:space="preserve">      exit_rules.py         # section 7 rule engine (per-opportunity, for opened positions)</w:t>
            </w:r>
          </w:p>
          <w:p>
            <w:pPr>
              <w:spacing w:after="20" w:before="20" w:line="260"/>
            </w:pPr>
            <w:r>
              <w:rPr>
                <w:rFonts w:ascii="Consolas" w:cs="Consolas" w:eastAsia="Consolas" w:hAnsi="Consolas"/>
                <w:sz w:val="20"/>
                <w:szCs w:val="20"/>
              </w:rPr>
              <w:t xml:space="preserve">      next_leg.py           # section 8 variable population</w:t>
            </w:r>
          </w:p>
          <w:p>
            <w:pPr>
              <w:spacing w:after="20" w:before="20" w:line="260"/>
            </w:pPr>
            <w:r>
              <w:rPr>
                <w:rFonts w:ascii="Consolas" w:cs="Consolas" w:eastAsia="Consolas" w:hAnsi="Consolas"/>
                <w:sz w:val="20"/>
                <w:szCs w:val="20"/>
              </w:rPr>
              <w:t xml:space="preserve">      output_builder.py     # generates xlsx / docx / dashboard JSON</w:t>
            </w:r>
          </w:p>
          <w:p>
            <w:pPr>
              <w:spacing w:after="20" w:before="20" w:line="260"/>
            </w:pPr>
            <w:r>
              <w:rPr>
                <w:rFonts w:ascii="Consolas" w:cs="Consolas" w:eastAsia="Consolas" w:hAnsi="Consolas"/>
                <w:sz w:val="20"/>
                <w:szCs w:val="20"/>
              </w:rPr>
              <w:t xml:space="preserve">      tests/</w:t>
            </w:r>
          </w:p>
          <w:p>
            <w:pPr>
              <w:spacing w:after="20" w:before="20" w:line="260"/>
            </w:pPr>
            <w:r>
              <w:rPr>
                <w:rFonts w:ascii="Consolas" w:cs="Consolas" w:eastAsia="Consolas" w:hAnsi="Consolas"/>
                <w:sz w:val="20"/>
                <w:szCs w:val="20"/>
              </w:rPr>
              <w:t xml:space="preserve">        test_filters.py</w:t>
            </w:r>
          </w:p>
          <w:p>
            <w:pPr>
              <w:spacing w:after="20" w:before="20" w:line="260"/>
            </w:pPr>
            <w:r>
              <w:rPr>
                <w:rFonts w:ascii="Consolas" w:cs="Consolas" w:eastAsia="Consolas" w:hAnsi="Consolas"/>
                <w:sz w:val="20"/>
                <w:szCs w:val="20"/>
              </w:rPr>
              <w:t xml:space="preserve">        test_scoring.py</w:t>
            </w:r>
          </w:p>
          <w:p>
            <w:pPr>
              <w:spacing w:after="20" w:before="20" w:line="260"/>
            </w:pPr>
            <w:r>
              <w:rPr>
                <w:rFonts w:ascii="Consolas" w:cs="Consolas" w:eastAsia="Consolas" w:hAnsi="Consolas"/>
                <w:sz w:val="20"/>
                <w:szCs w:val="20"/>
              </w:rPr>
              <w:t xml:space="preserve">        test_pairing.py</w:t>
            </w:r>
          </w:p>
          <w:p>
            <w:pPr>
              <w:spacing w:after="20" w:before="20" w:line="260"/>
            </w:pPr>
            <w:r>
              <w:rPr>
                <w:rFonts w:ascii="Consolas" w:cs="Consolas" w:eastAsia="Consolas" w:hAnsi="Consolas"/>
                <w:sz w:val="20"/>
                <w:szCs w:val="20"/>
              </w:rPr>
              <w:t xml:space="preserve">        test_exit_rules.py</w:t>
            </w:r>
          </w:p>
          <w:p>
            <w:pPr>
              <w:spacing w:after="20" w:before="20" w:line="260"/>
            </w:pPr>
            <w:r>
              <w:rPr>
                <w:rFonts w:ascii="Consolas" w:cs="Consolas" w:eastAsia="Consolas" w:hAnsi="Consolas"/>
                <w:sz w:val="20"/>
                <w:szCs w:val="20"/>
              </w:rPr>
              <w:t xml:space="preserve">        fixtures/           # golden fixture data from past runs</w:t>
            </w:r>
          </w:p>
        </w:tc>
      </w:tr>
    </w:tbl>
    <w:p>
      <w:pPr>
        <w:pStyle w:val="Heading2"/>
        <w:spacing w:after="140" w:before="280"/>
      </w:pPr>
      <w:r>
        <w:rPr>
          <w:b/>
          <w:bCs/>
          <w:color w:val="2E75B6"/>
          <w:sz w:val="28"/>
          <w:szCs w:val="28"/>
        </w:rPr>
        <w:t xml:space="preserve">11.2 Configuration</w:t>
      </w:r>
    </w:p>
    <w:p>
      <w:pPr>
        <w:spacing w:after="60" w:before="60" w:line="300"/>
      </w:pPr>
      <w:r>
        <w:t xml:space="preserve">Thresholds defined in this SRS are exposed in config/strategies/leaps_csp.yaml. User-overridable parameters:</w:t>
      </w:r>
    </w:p>
    <w:p>
      <w:pPr>
        <w:pStyle w:val="ListParagraph"/>
        <w:numPr>
          <w:ilvl w:val="0"/>
          <w:numId w:val="2"/>
        </w:numPr>
        <w:spacing w:after="40" w:before="40" w:line="280"/>
      </w:pPr>
      <w:r>
        <w:rPr>
          <w:sz w:val="22"/>
          <w:szCs w:val="22"/>
        </w:rPr>
        <w:t xml:space="preserve">Delta bands for both legs.</w:t>
      </w:r>
    </w:p>
    <w:p>
      <w:pPr>
        <w:pStyle w:val="ListParagraph"/>
        <w:numPr>
          <w:ilvl w:val="0"/>
          <w:numId w:val="2"/>
        </w:numPr>
        <w:spacing w:after="40" w:before="40" w:line="280"/>
      </w:pPr>
      <w:r>
        <w:rPr>
          <w:sz w:val="22"/>
          <w:szCs w:val="22"/>
        </w:rPr>
        <w:t xml:space="preserve">DTE bands for both legs.</w:t>
      </w:r>
    </w:p>
    <w:p>
      <w:pPr>
        <w:pStyle w:val="ListParagraph"/>
        <w:numPr>
          <w:ilvl w:val="0"/>
          <w:numId w:val="2"/>
        </w:numPr>
        <w:spacing w:after="40" w:before="40" w:line="280"/>
      </w:pPr>
      <w:r>
        <w:rPr>
          <w:sz w:val="22"/>
          <w:szCs w:val="22"/>
        </w:rPr>
        <w:t xml:space="preserve">IVR floors and ceilings.</w:t>
      </w:r>
    </w:p>
    <w:p>
      <w:pPr>
        <w:pStyle w:val="ListParagraph"/>
        <w:numPr>
          <w:ilvl w:val="0"/>
          <w:numId w:val="2"/>
        </w:numPr>
        <w:spacing w:after="40" w:before="40" w:line="280"/>
      </w:pPr>
      <w:r>
        <w:rPr>
          <w:sz w:val="22"/>
          <w:szCs w:val="22"/>
        </w:rPr>
        <w:t xml:space="preserve">Default grade-filter floor (default B; can lower to C or F for full visibility).</w:t>
      </w:r>
    </w:p>
    <w:p>
      <w:pPr>
        <w:pStyle w:val="ListParagraph"/>
        <w:numPr>
          <w:ilvl w:val="0"/>
          <w:numId w:val="2"/>
        </w:numPr>
        <w:spacing w:after="40" w:before="40" w:line="280"/>
      </w:pPr>
      <w:r>
        <w:rPr>
          <w:sz w:val="22"/>
          <w:szCs w:val="22"/>
        </w:rPr>
        <w:t xml:space="preserve">Pairing mode preference ("best only," "same-ticker preferred," "different-ticker preferred," "show both").</w:t>
      </w:r>
    </w:p>
    <w:p>
      <w:pPr>
        <w:pStyle w:val="ListParagraph"/>
        <w:numPr>
          <w:ilvl w:val="0"/>
          <w:numId w:val="2"/>
        </w:numPr>
        <w:spacing w:after="40" w:before="40" w:line="280"/>
      </w:pPr>
      <w:r>
        <w:rPr>
          <w:sz w:val="22"/>
          <w:szCs w:val="22"/>
        </w:rPr>
        <w:t xml:space="preserve">Annualized-return floor for CSP hard fail (default 12% — this is a quality threshold, not a capital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2F8" w:val="clear"/>
            <w:tcMar>
              <w:top w:type="dxa" w:w="160"/>
              <w:left w:type="dxa" w:w="200"/>
              <w:bottom w:type="dxa" w:w="160"/>
              <w:right w:type="dxa" w:w="200"/>
            </w:tcMar>
          </w:tcPr>
          <w:p>
            <w:pPr>
              <w:spacing w:after="80" w:before="40"/>
            </w:pPr>
            <w:r>
              <w:rPr>
                <w:b/>
                <w:bCs/>
                <w:color w:val="2E75B6"/>
                <w:sz w:val="22"/>
                <w:szCs w:val="22"/>
              </w:rPr>
              <w:t xml:space="preserve">Configuration philosophy</w:t>
            </w:r>
          </w:p>
          <w:p>
            <w:pPr>
              <w:spacing w:after="40" w:before="40" w:line="280"/>
            </w:pPr>
            <w:r>
              <w:rPr>
                <w:sz w:val="22"/>
                <w:szCs w:val="22"/>
              </w:rPr>
              <w:t xml:space="preserve">Config controls QUALITY thresholds and display preferences. It never controls capital, position count, or allocation. There is no "max positions" setting, no "max cash per opportunity" setting, no "min cash per opportunity" setting. Those decisions live with the user, not the tool.</w:t>
            </w:r>
          </w:p>
        </w:tc>
      </w:tr>
    </w:tbl>
    <w:p>
      <w:pPr>
        <w:pStyle w:val="Heading2"/>
        <w:spacing w:after="140" w:before="280"/>
      </w:pPr>
      <w:r>
        <w:rPr>
          <w:b/>
          <w:bCs/>
          <w:color w:val="2E75B6"/>
          <w:sz w:val="28"/>
          <w:szCs w:val="28"/>
        </w:rPr>
        <w:t xml:space="preserve">11.3 Logging and Audit</w:t>
      </w:r>
    </w:p>
    <w:p>
      <w:pPr>
        <w:pStyle w:val="ListParagraph"/>
        <w:numPr>
          <w:ilvl w:val="0"/>
          <w:numId w:val="2"/>
        </w:numPr>
        <w:spacing w:after="40" w:before="40" w:line="280"/>
      </w:pPr>
      <w:r>
        <w:rPr>
          <w:sz w:val="22"/>
          <w:szCs w:val="22"/>
        </w:rPr>
        <w:t xml:space="preserve">Every screening run produces a run log with run_id, timestamp, market gate state, candidates evaluated, hard fails recorded, scores assigned, final ranking.</w:t>
      </w:r>
    </w:p>
    <w:p>
      <w:pPr>
        <w:pStyle w:val="ListParagraph"/>
        <w:numPr>
          <w:ilvl w:val="0"/>
          <w:numId w:val="2"/>
        </w:numPr>
        <w:spacing w:after="40" w:before="40" w:line="280"/>
      </w:pPr>
      <w:r>
        <w:rPr>
          <w:sz w:val="22"/>
          <w:szCs w:val="22"/>
        </w:rPr>
        <w:t xml:space="preserve">Every output row links back to its run_id for forensic review.</w:t>
      </w:r>
    </w:p>
    <w:p>
      <w:pPr>
        <w:pStyle w:val="ListParagraph"/>
        <w:numPr>
          <w:ilvl w:val="0"/>
          <w:numId w:val="2"/>
        </w:numPr>
        <w:spacing w:after="40" w:before="40" w:line="280"/>
      </w:pPr>
      <w:r>
        <w:rPr>
          <w:sz w:val="22"/>
          <w:szCs w:val="22"/>
        </w:rPr>
        <w:t xml:space="preserve">Run logs retained for minimum 1 year.</w:t>
      </w:r>
    </w:p>
    <w:p>
      <w:pPr>
        <w:pStyle w:val="Heading2"/>
        <w:spacing w:after="140" w:before="280"/>
      </w:pPr>
      <w:r>
        <w:rPr>
          <w:b/>
          <w:bCs/>
          <w:color w:val="2E75B6"/>
          <w:sz w:val="28"/>
          <w:szCs w:val="28"/>
        </w:rPr>
        <w:t xml:space="preserve">11.4 Testing Requirements</w:t>
      </w:r>
    </w:p>
    <w:p>
      <w:pPr>
        <w:pStyle w:val="ListParagraph"/>
        <w:numPr>
          <w:ilvl w:val="0"/>
          <w:numId w:val="2"/>
        </w:numPr>
        <w:spacing w:after="40" w:before="40" w:line="280"/>
      </w:pPr>
      <w:r>
        <w:rPr>
          <w:sz w:val="22"/>
          <w:szCs w:val="22"/>
        </w:rPr>
        <w:t xml:space="preserve">Unit tests for each hard-fail rule (one passing case, one failing case per rule).</w:t>
      </w:r>
    </w:p>
    <w:p>
      <w:pPr>
        <w:pStyle w:val="ListParagraph"/>
        <w:numPr>
          <w:ilvl w:val="0"/>
          <w:numId w:val="2"/>
        </w:numPr>
        <w:spacing w:after="40" w:before="40" w:line="280"/>
      </w:pPr>
      <w:r>
        <w:rPr>
          <w:sz w:val="22"/>
          <w:szCs w:val="22"/>
        </w:rPr>
        <w:t xml:space="preserve">Unit tests for each scoring component (verify weight and band logic).</w:t>
      </w:r>
    </w:p>
    <w:p>
      <w:pPr>
        <w:pStyle w:val="ListParagraph"/>
        <w:numPr>
          <w:ilvl w:val="0"/>
          <w:numId w:val="2"/>
        </w:numPr>
        <w:spacing w:after="40" w:before="40" w:line="280"/>
      </w:pPr>
      <w:r>
        <w:rPr>
          <w:sz w:val="22"/>
          <w:szCs w:val="22"/>
        </w:rPr>
        <w:t xml:space="preserve">Unit tests confirming NO capital-based filtering exists in any code path (this is a regression-prevention test).</w:t>
      </w:r>
    </w:p>
    <w:p>
      <w:pPr>
        <w:pStyle w:val="ListParagraph"/>
        <w:numPr>
          <w:ilvl w:val="0"/>
          <w:numId w:val="2"/>
        </w:numPr>
        <w:spacing w:after="40" w:before="40" w:line="280"/>
      </w:pPr>
      <w:r>
        <w:rPr>
          <w:sz w:val="22"/>
          <w:szCs w:val="22"/>
        </w:rPr>
        <w:t xml:space="preserve">Integration test with fixture data simulating one full screening run, asserting expected ranking.</w:t>
      </w:r>
    </w:p>
    <w:p>
      <w:pPr>
        <w:pStyle w:val="ListParagraph"/>
        <w:numPr>
          <w:ilvl w:val="0"/>
          <w:numId w:val="2"/>
        </w:numPr>
        <w:spacing w:after="40" w:before="40" w:line="280"/>
      </w:pPr>
      <w:r>
        <w:rPr>
          <w:sz w:val="22"/>
          <w:szCs w:val="22"/>
        </w:rPr>
        <w:t xml:space="preserve">Backtesting harness — replay historical Polygon data through the pipeline and produce ranked results.</w:t>
      </w:r>
    </w:p>
    <w:p>
      <w:pPr>
        <w:pStyle w:val="ListParagraph"/>
        <w:numPr>
          <w:ilvl w:val="0"/>
          <w:numId w:val="2"/>
        </w:numPr>
        <w:spacing w:after="40" w:before="40" w:line="280"/>
      </w:pPr>
      <w:r>
        <w:rPr>
          <w:sz w:val="22"/>
          <w:szCs w:val="22"/>
        </w:rPr>
        <w:t xml:space="preserve">Smoke test against live Polygon on every deploy.</w:t>
      </w:r>
    </w:p>
    <w:p>
      <w:pPr>
        <w:pStyle w:val="Heading2"/>
        <w:spacing w:after="140" w:before="280"/>
      </w:pPr>
      <w:r>
        <w:rPr>
          <w:b/>
          <w:bCs/>
          <w:color w:val="2E75B6"/>
          <w:sz w:val="28"/>
          <w:szCs w:val="28"/>
        </w:rPr>
        <w:t xml:space="preserve">11.5 UX Requirements</w:t>
      </w:r>
    </w:p>
    <w:p>
      <w:pPr>
        <w:pStyle w:val="ListParagraph"/>
        <w:numPr>
          <w:ilvl w:val="0"/>
          <w:numId w:val="2"/>
        </w:numPr>
        <w:spacing w:after="40" w:before="40" w:line="280"/>
      </w:pPr>
      <w:r>
        <w:rPr>
          <w:sz w:val="22"/>
          <w:szCs w:val="22"/>
        </w:rPr>
        <w:t xml:space="preserve">Initial screening run completes within 60 seconds for a 500-ticker universe.</w:t>
      </w:r>
    </w:p>
    <w:p>
      <w:pPr>
        <w:pStyle w:val="ListParagraph"/>
        <w:numPr>
          <w:ilvl w:val="0"/>
          <w:numId w:val="2"/>
        </w:numPr>
        <w:spacing w:after="40" w:before="40" w:line="280"/>
      </w:pPr>
      <w:r>
        <w:rPr>
          <w:sz w:val="22"/>
          <w:szCs w:val="22"/>
        </w:rPr>
        <w:t xml:space="preserve">Ranked opportunity table is the default landing screen after a screening run.</w:t>
      </w:r>
    </w:p>
    <w:p>
      <w:pPr>
        <w:pStyle w:val="ListParagraph"/>
        <w:numPr>
          <w:ilvl w:val="0"/>
          <w:numId w:val="2"/>
        </w:numPr>
        <w:spacing w:after="40" w:before="40" w:line="280"/>
      </w:pPr>
      <w:r>
        <w:rPr>
          <w:sz w:val="22"/>
          <w:szCs w:val="22"/>
        </w:rPr>
        <w:t xml:space="preserve">Each row is clickable, opening the per-opportunity dashboard.</w:t>
      </w:r>
    </w:p>
    <w:p>
      <w:pPr>
        <w:pStyle w:val="ListParagraph"/>
        <w:numPr>
          <w:ilvl w:val="0"/>
          <w:numId w:val="2"/>
        </w:numPr>
        <w:spacing w:after="40" w:before="40" w:line="280"/>
      </w:pPr>
      <w:r>
        <w:rPr>
          <w:sz w:val="22"/>
          <w:szCs w:val="22"/>
        </w:rPr>
        <w:t xml:space="preserve">Dashboard "Exit Rules Active" section uses color: green=OK, amber=approaching, red=triggered. (Only shown for opened positions.)</w:t>
      </w:r>
    </w:p>
    <w:p>
      <w:pPr>
        <w:pStyle w:val="ListParagraph"/>
        <w:numPr>
          <w:ilvl w:val="0"/>
          <w:numId w:val="2"/>
        </w:numPr>
        <w:spacing w:after="40" w:before="40" w:line="280"/>
      </w:pPr>
      <w:r>
        <w:rPr>
          <w:sz w:val="22"/>
          <w:szCs w:val="22"/>
        </w:rPr>
        <w:t xml:space="preserve">All currency values formatted with thousands separators and two decimals.</w:t>
      </w:r>
    </w:p>
    <w:p>
      <w:pPr>
        <w:pStyle w:val="ListParagraph"/>
        <w:numPr>
          <w:ilvl w:val="0"/>
          <w:numId w:val="2"/>
        </w:numPr>
        <w:spacing w:after="40" w:before="40" w:line="280"/>
      </w:pPr>
      <w:r>
        <w:rPr>
          <w:sz w:val="22"/>
          <w:szCs w:val="22"/>
        </w:rPr>
        <w:t xml:space="preserve">All percentages formatted with one decimal.</w:t>
      </w:r>
    </w:p>
    <w:p>
      <w:pPr>
        <w:pStyle w:val="ListParagraph"/>
        <w:numPr>
          <w:ilvl w:val="0"/>
          <w:numId w:val="2"/>
        </w:numPr>
        <w:spacing w:after="40" w:before="40" w:line="280"/>
      </w:pPr>
      <w:r>
        <w:rPr>
          <w:sz w:val="22"/>
          <w:szCs w:val="22"/>
        </w:rPr>
        <w:t xml:space="preserve">Tooltips on every score component explaining how it was computed.</w:t>
      </w:r>
    </w:p>
    <w:p>
      <w:pPr>
        <w:pStyle w:val="ListParagraph"/>
        <w:numPr>
          <w:ilvl w:val="0"/>
          <w:numId w:val="2"/>
        </w:numPr>
        <w:spacing w:after="40" w:before="40" w:line="280"/>
      </w:pPr>
      <w:r>
        <w:rPr>
          <w:sz w:val="22"/>
          <w:szCs w:val="22"/>
        </w:rPr>
        <w:t xml:space="preserve">Export buttons for Excel and Word on both the ranked table and any dashboard.</w:t>
      </w:r>
    </w:p>
    <w:p>
      <w:pPr>
        <w:pStyle w:val="ListParagraph"/>
        <w:numPr>
          <w:ilvl w:val="0"/>
          <w:numId w:val="2"/>
        </w:numPr>
        <w:spacing w:after="40" w:before="40" w:line="280"/>
      </w:pPr>
      <w:r>
        <w:rPr>
          <w:sz w:val="22"/>
          <w:szCs w:val="22"/>
        </w:rPr>
        <w:t xml:space="preserve">Affordability filter (optional, user-driven) — a user-controlled slider for "hide opportunities with total cash to deploy &gt; $X" — but this is a DISPLAY filter that the user explicitly sets, NOT a default behavior.</w:t>
      </w:r>
    </w:p>
    <w:p>
      <w:pPr>
        <w:pStyle w:val="Heading2"/>
        <w:spacing w:after="140" w:before="280"/>
      </w:pPr>
      <w:r>
        <w:rPr>
          <w:b/>
          <w:bCs/>
          <w:color w:val="2E75B6"/>
          <w:sz w:val="28"/>
          <w:szCs w:val="28"/>
        </w:rPr>
        <w:t xml:space="preserve">11.6 Error Handling</w:t>
      </w:r>
    </w:p>
    <w:p>
      <w:pPr>
        <w:pStyle w:val="ListParagraph"/>
        <w:numPr>
          <w:ilvl w:val="0"/>
          <w:numId w:val="2"/>
        </w:numPr>
        <w:spacing w:after="40" w:before="40" w:line="280"/>
      </w:pPr>
      <w:r>
        <w:rPr>
          <w:sz w:val="22"/>
          <w:szCs w:val="22"/>
        </w:rPr>
        <w:t xml:space="preserve">Polygon API failure → retry with exponential backoff up to 3 attempts; if still failing, mark candidate as Unavailable and continue with remaining universe.</w:t>
      </w:r>
    </w:p>
    <w:p>
      <w:pPr>
        <w:pStyle w:val="ListParagraph"/>
        <w:numPr>
          <w:ilvl w:val="0"/>
          <w:numId w:val="2"/>
        </w:numPr>
        <w:spacing w:after="40" w:before="40" w:line="280"/>
      </w:pPr>
      <w:r>
        <w:rPr>
          <w:sz w:val="22"/>
          <w:szCs w:val="22"/>
        </w:rPr>
        <w:t xml:space="preserve">Partial chain returns → if greeks missing on a contract, the contract is rejected (cannot score without greeks).</w:t>
      </w:r>
    </w:p>
    <w:p>
      <w:pPr>
        <w:pStyle w:val="ListParagraph"/>
        <w:numPr>
          <w:ilvl w:val="0"/>
          <w:numId w:val="2"/>
        </w:numPr>
        <w:spacing w:after="40" w:before="40" w:line="280"/>
      </w:pPr>
      <w:r>
        <w:rPr>
          <w:sz w:val="22"/>
          <w:szCs w:val="22"/>
        </w:rPr>
        <w:t xml:space="preserve">Universe filter eliminates all tickers → return empty ranking with explicit message: "No qualifying candidates after universe filters."</w:t>
      </w:r>
    </w:p>
    <w:p>
      <w:pPr>
        <w:pStyle w:val="ListParagraph"/>
        <w:numPr>
          <w:ilvl w:val="0"/>
          <w:numId w:val="2"/>
        </w:numPr>
        <w:spacing w:after="40" w:before="40" w:line="280"/>
      </w:pPr>
      <w:r>
        <w:rPr>
          <w:sz w:val="22"/>
          <w:szCs w:val="22"/>
        </w:rPr>
        <w:t xml:space="preserve">Market gate FAIL → still generate ranking for visibility but mark all rows as "No new entries (gate fail)" and disable any "mark as opened" buttons.</w:t>
      </w:r>
    </w:p>
    <w:p>
      <w:r>
        <w:br w:type="page"/>
      </w:r>
    </w:p>
    <w:p>
      <w:pPr>
        <w:pStyle w:val="Heading1"/>
        <w:spacing w:after="180" w:before="360"/>
      </w:pPr>
      <w:r>
        <w:rPr>
          <w:b/>
          <w:bCs/>
          <w:color w:val="1F4E78"/>
          <w:sz w:val="36"/>
          <w:szCs w:val="36"/>
        </w:rPr>
        <w:t xml:space="preserve">12. Acceptance Criteria</w:t>
      </w:r>
    </w:p>
    <w:p>
      <w:pPr>
        <w:spacing w:after="60" w:before="60" w:line="300"/>
      </w:pPr>
      <w:r>
        <w:t xml:space="preserve">The module is complete and ready for production when all of the following are demonstrably true:</w:t>
      </w:r>
    </w:p>
    <w:p>
      <w:pPr>
        <w:pStyle w:val="Heading2"/>
        <w:spacing w:after="140" w:before="280"/>
      </w:pPr>
      <w:r>
        <w:rPr>
          <w:b/>
          <w:bCs/>
          <w:color w:val="2E75B6"/>
          <w:sz w:val="28"/>
          <w:szCs w:val="28"/>
        </w:rPr>
        <w:t xml:space="preserve">12.1 Functional Acceptance</w:t>
      </w:r>
    </w:p>
    <w:p>
      <w:pPr>
        <w:pStyle w:val="ListParagraph"/>
        <w:numPr>
          <w:ilvl w:val="0"/>
          <w:numId w:val="3"/>
        </w:numPr>
        <w:spacing w:after="40" w:before="40" w:line="280"/>
      </w:pPr>
      <w:r>
        <w:rPr>
          <w:sz w:val="22"/>
          <w:szCs w:val="22"/>
        </w:rPr>
        <w:t xml:space="preserve">Routing — "LEAPS stock replacement" and the other trigger phrases route to the new strategy file.</w:t>
      </w:r>
    </w:p>
    <w:p>
      <w:pPr>
        <w:pStyle w:val="ListParagraph"/>
        <w:numPr>
          <w:ilvl w:val="0"/>
          <w:numId w:val="3"/>
        </w:numPr>
        <w:spacing w:after="40" w:before="40" w:line="280"/>
      </w:pPr>
      <w:r>
        <w:rPr>
          <w:sz w:val="22"/>
          <w:szCs w:val="22"/>
        </w:rPr>
        <w:t xml:space="preserve">Hard fails — for a test universe of 50 tickers including known-bad cases (earnings imminent, M&amp;A pending, sub-$10 price), the pipeline rejects each bad case with the correct hard-fail reason.</w:t>
      </w:r>
    </w:p>
    <w:p>
      <w:pPr>
        <w:pStyle w:val="ListParagraph"/>
        <w:numPr>
          <w:ilvl w:val="0"/>
          <w:numId w:val="3"/>
        </w:numPr>
        <w:spacing w:after="40" w:before="40" w:line="280"/>
      </w:pPr>
      <w:r>
        <w:rPr>
          <w:sz w:val="22"/>
          <w:szCs w:val="22"/>
        </w:rPr>
        <w:t xml:space="preserve">Scoring — for a fixture set of 10 candidates with hand-computed expected scores, the engine produces scores within ±0.1 of expected.</w:t>
      </w:r>
    </w:p>
    <w:p>
      <w:pPr>
        <w:pStyle w:val="ListParagraph"/>
        <w:numPr>
          <w:ilvl w:val="0"/>
          <w:numId w:val="3"/>
        </w:numPr>
        <w:spacing w:after="40" w:before="40" w:line="280"/>
      </w:pPr>
      <w:r>
        <w:rPr>
          <w:sz w:val="22"/>
          <w:szCs w:val="22"/>
        </w:rPr>
        <w:t xml:space="preserve">Pairing — when run on a fixture set known to favor different-ticker mode, the engine ranks different-ticker pairs higher; same for same-ticker.</w:t>
      </w:r>
    </w:p>
    <w:p>
      <w:pPr>
        <w:pStyle w:val="ListParagraph"/>
        <w:numPr>
          <w:ilvl w:val="0"/>
          <w:numId w:val="3"/>
        </w:numPr>
        <w:spacing w:after="40" w:before="40" w:line="280"/>
      </w:pPr>
      <w:r>
        <w:rPr>
          <w:sz w:val="22"/>
          <w:szCs w:val="22"/>
        </w:rPr>
        <w:t xml:space="preserve">Market gate — output header correctly reflects PASS, CAUTION, FAIL across three test scenarios.</w:t>
      </w:r>
    </w:p>
    <w:p>
      <w:pPr>
        <w:pStyle w:val="ListParagraph"/>
        <w:numPr>
          <w:ilvl w:val="0"/>
          <w:numId w:val="3"/>
        </w:numPr>
        <w:spacing w:after="40" w:before="40" w:line="280"/>
      </w:pPr>
      <w:r>
        <w:rPr>
          <w:sz w:val="22"/>
          <w:szCs w:val="22"/>
        </w:rPr>
        <w:t xml:space="preserve">No capital filtering — a regression test confirms that a $500 stock and a $30 stock can both appear in the same output, with ranking determined purely by score. A high-priced LEAPS does NOT get downgraded for being expensive.</w:t>
      </w:r>
    </w:p>
    <w:p>
      <w:pPr>
        <w:pStyle w:val="ListParagraph"/>
        <w:numPr>
          <w:ilvl w:val="0"/>
          <w:numId w:val="3"/>
        </w:numPr>
        <w:spacing w:after="40" w:before="40" w:line="280"/>
      </w:pPr>
      <w:r>
        <w:rPr>
          <w:sz w:val="22"/>
          <w:szCs w:val="22"/>
        </w:rPr>
        <w:t xml:space="preserve">No truncation — output includes ALL qualifying opportunities. Default view filters by grade; "show all" reveals everything down to F.</w:t>
      </w:r>
    </w:p>
    <w:p>
      <w:pPr>
        <w:pStyle w:val="ListParagraph"/>
        <w:numPr>
          <w:ilvl w:val="0"/>
          <w:numId w:val="3"/>
        </w:numPr>
        <w:spacing w:after="40" w:before="40" w:line="280"/>
      </w:pPr>
      <w:r>
        <w:rPr>
          <w:sz w:val="22"/>
          <w:szCs w:val="22"/>
        </w:rPr>
        <w:t xml:space="preserve">Exit rules — every rule in section 7 is implemented and unit-tested. Rules surface only for opportunities the user has marked as opened.</w:t>
      </w:r>
    </w:p>
    <w:p>
      <w:pPr>
        <w:pStyle w:val="ListParagraph"/>
        <w:numPr>
          <w:ilvl w:val="0"/>
          <w:numId w:val="3"/>
        </w:numPr>
        <w:spacing w:after="40" w:before="40" w:line="280"/>
      </w:pPr>
      <w:r>
        <w:rPr>
          <w:sz w:val="22"/>
          <w:szCs w:val="22"/>
        </w:rPr>
        <w:t xml:space="preserve">Next-leg — when an opened position is flagged for roll/exit, the dashboard surfaces three roll candidates with computed metrics.</w:t>
      </w:r>
    </w:p>
    <w:p>
      <w:pPr>
        <w:pStyle w:val="ListParagraph"/>
        <w:numPr>
          <w:ilvl w:val="0"/>
          <w:numId w:val="3"/>
        </w:numPr>
        <w:spacing w:after="40" w:before="40" w:line="280"/>
      </w:pPr>
      <w:r>
        <w:rPr>
          <w:sz w:val="22"/>
          <w:szCs w:val="22"/>
        </w:rPr>
        <w:t xml:space="preserve">Outputs — Excel and Word exports generate without errors and contain all sections.</w:t>
      </w:r>
    </w:p>
    <w:p>
      <w:pPr>
        <w:pStyle w:val="Heading2"/>
        <w:spacing w:after="140" w:before="280"/>
      </w:pPr>
      <w:r>
        <w:rPr>
          <w:b/>
          <w:bCs/>
          <w:color w:val="2E75B6"/>
          <w:sz w:val="28"/>
          <w:szCs w:val="28"/>
        </w:rPr>
        <w:t xml:space="preserve">12.2 Non-Functional Acceptance</w:t>
      </w:r>
    </w:p>
    <w:p>
      <w:pPr>
        <w:pStyle w:val="ListParagraph"/>
        <w:numPr>
          <w:ilvl w:val="0"/>
          <w:numId w:val="2"/>
        </w:numPr>
        <w:spacing w:after="40" w:before="40" w:line="280"/>
      </w:pPr>
      <w:r>
        <w:rPr>
          <w:sz w:val="22"/>
          <w:szCs w:val="22"/>
        </w:rPr>
        <w:t xml:space="preserve">60-second screening run for 500-ticker universe.</w:t>
      </w:r>
    </w:p>
    <w:p>
      <w:pPr>
        <w:pStyle w:val="ListParagraph"/>
        <w:numPr>
          <w:ilvl w:val="0"/>
          <w:numId w:val="2"/>
        </w:numPr>
        <w:spacing w:after="40" w:before="40" w:line="280"/>
      </w:pPr>
      <w:r>
        <w:rPr>
          <w:sz w:val="22"/>
          <w:szCs w:val="22"/>
        </w:rPr>
        <w:t xml:space="preserve">Audit trail present on every output row.</w:t>
      </w:r>
    </w:p>
    <w:p>
      <w:pPr>
        <w:pStyle w:val="ListParagraph"/>
        <w:numPr>
          <w:ilvl w:val="0"/>
          <w:numId w:val="2"/>
        </w:numPr>
        <w:spacing w:after="40" w:before="40" w:line="280"/>
      </w:pPr>
      <w:r>
        <w:rPr>
          <w:sz w:val="22"/>
          <w:szCs w:val="22"/>
        </w:rPr>
        <w:t xml:space="preserve">Polygon API failure handling tested and verified.</w:t>
      </w:r>
    </w:p>
    <w:p>
      <w:pPr>
        <w:pStyle w:val="ListParagraph"/>
        <w:numPr>
          <w:ilvl w:val="0"/>
          <w:numId w:val="2"/>
        </w:numPr>
        <w:spacing w:after="40" w:before="40" w:line="280"/>
      </w:pPr>
      <w:r>
        <w:rPr>
          <w:sz w:val="22"/>
          <w:szCs w:val="22"/>
        </w:rPr>
        <w:t xml:space="preserve">Config file overrides all documented quality-threshold parameters (and no capital ones, by design).</w:t>
      </w:r>
    </w:p>
    <w:p>
      <w:pPr>
        <w:pStyle w:val="Heading2"/>
        <w:spacing w:after="140" w:before="280"/>
      </w:pPr>
      <w:r>
        <w:rPr>
          <w:b/>
          <w:bCs/>
          <w:color w:val="2E75B6"/>
          <w:sz w:val="28"/>
          <w:szCs w:val="28"/>
        </w:rPr>
        <w:t xml:space="preserve">12.3 Edge Cases the Engine Must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Edge case</w:t>
            </w:r>
          </w:p>
        </w:tc>
        <w:tc>
          <w:tcPr>
            <w:tcW w:type="dxa" w:w="56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Expected behavior</w:t>
            </w:r>
          </w:p>
        </w:tc>
      </w:tr>
      <w:tr>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LEAPS contract qualifies but no CSP candidate qualifies anywhere</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Surface LEAPS-only opportunity with combined score = LEAPS sub-score × 0.6, flagged "LEAPS only — no qualifying CSP available"</w:t>
            </w:r>
          </w:p>
        </w:tc>
      </w:tr>
      <w:tr>
        <w:tc>
          <w:tcPr>
            <w:tcW w:type="dxa" w:w="3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Same ticker disqualified for LEAPS (e.g., earnings in 10 days) but qualifies for CSP</w:t>
            </w:r>
          </w:p>
        </w:tc>
        <w:tc>
          <w:tcPr>
            <w:tcW w:type="dxa" w:w="5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CSP-only opportunity is NOT surfaced through this strategy — standalone CSPs route to wheel strategies. The user is shown a hint: "This ticker qualifies for CSP but not LEAPS; consider wheel-50/100/200."</w:t>
            </w:r>
          </w:p>
        </w:tc>
      </w:tr>
      <w:tr>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CSP gets assigned mid-cycle while LEAPS still open</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Module flags the user: "You now hold 100 shares + LEAPS. Consider PMCC (advanced-options module) or close shares to return to standard structure."</w:t>
            </w:r>
          </w:p>
        </w:tc>
      </w:tr>
      <w:tr>
        <w:tc>
          <w:tcPr>
            <w:tcW w:type="dxa" w:w="3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LEAPS gets exercised early (rare but possible)</w:t>
            </w:r>
          </w:p>
        </w:tc>
        <w:tc>
          <w:tcPr>
            <w:tcW w:type="dxa" w:w="5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Module flags: "You now hold 100 shares; route to wheel strategy for ongoing management."</w:t>
            </w:r>
          </w:p>
        </w:tc>
      </w:tr>
      <w:tr>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Market gate flips mid-day from PASS to FAIL</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Block any new opportunities from being marked as opened; existing opened opportunities reviewed at next daily run with FAIL-state guidance.</w:t>
            </w:r>
          </w:p>
        </w:tc>
      </w:tr>
      <w:tr>
        <w:tc>
          <w:tcPr>
            <w:tcW w:type="dxa" w:w="3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Polygon returns stale options chain (&gt;30 min old)</w:t>
            </w:r>
          </w:p>
        </w:tc>
        <w:tc>
          <w:tcPr>
            <w:tcW w:type="dxa" w:w="5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Reject contracts from stale data in current run; surface a data-staleness warning at the top of the report.</w:t>
            </w:r>
          </w:p>
        </w:tc>
      </w:tr>
      <w:tr>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Same ticker generates multiple high-scoring opportunities (e.g., different LEAPS strikes)</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All variants are shown. The user manages concentration.</w:t>
            </w:r>
          </w:p>
        </w:tc>
      </w:tr>
      <w:tr>
        <w:tc>
          <w:tcPr>
            <w:tcW w:type="dxa" w:w="3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A single-ticker output has 50+ opportunities (e.g., user's universe is small)</w:t>
            </w:r>
          </w:p>
        </w:tc>
        <w:tc>
          <w:tcPr>
            <w:tcW w:type="dxa" w:w="5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All are ranked and displayed; default grade filter caps default-view length.</w:t>
            </w:r>
          </w:p>
        </w:tc>
      </w:tr>
    </w:tbl>
    <w:p>
      <w:pPr>
        <w:spacing w:after="120" w:before="120"/>
      </w:pPr>
      <w:r>
        <w:t xml:space="preserve"/>
      </w:r>
    </w:p>
    <w:p>
      <w:pPr>
        <w:pBdr>
          <w:bottom w:val="single" w:color="2E75B6" w:sz="6" w:space="1"/>
        </w:pBdr>
        <w:spacing w:after="120" w:before="120"/>
      </w:pPr>
      <w:r>
        <w:t xml:space="preserve"> </w:t>
      </w:r>
    </w:p>
    <w:p>
      <w:pPr>
        <w:pStyle w:val="Heading2"/>
        <w:spacing w:after="140" w:before="280"/>
      </w:pPr>
      <w:r>
        <w:rPr>
          <w:b/>
          <w:bCs/>
          <w:color w:val="2E75B6"/>
          <w:sz w:val="28"/>
          <w:szCs w:val="28"/>
        </w:rPr>
        <w:t xml:space="preserve">12.4 Out-of-Scope (for v1)</w:t>
      </w:r>
    </w:p>
    <w:p>
      <w:pPr>
        <w:pStyle w:val="ListParagraph"/>
        <w:numPr>
          <w:ilvl w:val="0"/>
          <w:numId w:val="2"/>
        </w:numPr>
        <w:spacing w:after="40" w:before="40" w:line="280"/>
      </w:pPr>
      <w:r>
        <w:rPr>
          <w:sz w:val="22"/>
          <w:szCs w:val="22"/>
        </w:rPr>
        <w:t xml:space="preserve">Capital, slot, and position-sizing logic — explicitly out of scope.</w:t>
      </w:r>
    </w:p>
    <w:p>
      <w:pPr>
        <w:pStyle w:val="ListParagraph"/>
        <w:numPr>
          <w:ilvl w:val="0"/>
          <w:numId w:val="2"/>
        </w:numPr>
        <w:spacing w:after="40" w:before="40" w:line="280"/>
      </w:pPr>
      <w:r>
        <w:rPr>
          <w:sz w:val="22"/>
          <w:szCs w:val="22"/>
        </w:rPr>
        <w:t xml:space="preserve">Portfolio-level diversification rules — explicitly out of scope.</w:t>
      </w:r>
    </w:p>
    <w:p>
      <w:pPr>
        <w:pStyle w:val="ListParagraph"/>
        <w:numPr>
          <w:ilvl w:val="0"/>
          <w:numId w:val="2"/>
        </w:numPr>
        <w:spacing w:after="40" w:before="40" w:line="280"/>
      </w:pPr>
      <w:r>
        <w:rPr>
          <w:sz w:val="22"/>
          <w:szCs w:val="22"/>
        </w:rPr>
        <w:t xml:space="preserve">Multi-account allocation.</w:t>
      </w:r>
    </w:p>
    <w:p>
      <w:pPr>
        <w:pStyle w:val="ListParagraph"/>
        <w:numPr>
          <w:ilvl w:val="0"/>
          <w:numId w:val="2"/>
        </w:numPr>
        <w:spacing w:after="40" w:before="40" w:line="280"/>
      </w:pPr>
      <w:r>
        <w:rPr>
          <w:sz w:val="22"/>
          <w:szCs w:val="22"/>
        </w:rPr>
        <w:t xml:space="preserve">Tax-lot accounting (delegated to broker).</w:t>
      </w:r>
    </w:p>
    <w:p>
      <w:pPr>
        <w:pStyle w:val="ListParagraph"/>
        <w:numPr>
          <w:ilvl w:val="0"/>
          <w:numId w:val="2"/>
        </w:numPr>
        <w:spacing w:after="40" w:before="40" w:line="280"/>
      </w:pPr>
      <w:r>
        <w:rPr>
          <w:sz w:val="22"/>
          <w:szCs w:val="22"/>
        </w:rPr>
        <w:t xml:space="preserve">Real-time alerting during market hours (v1 is daily-run model).</w:t>
      </w:r>
    </w:p>
    <w:p>
      <w:pPr>
        <w:pStyle w:val="ListParagraph"/>
        <w:numPr>
          <w:ilvl w:val="0"/>
          <w:numId w:val="2"/>
        </w:numPr>
        <w:spacing w:after="40" w:before="40" w:line="280"/>
      </w:pPr>
      <w:r>
        <w:rPr>
          <w:sz w:val="22"/>
          <w:szCs w:val="22"/>
        </w:rPr>
        <w:t xml:space="preserve">International markets (US equities + ETFs only).</w:t>
      </w:r>
    </w:p>
    <w:p>
      <w:pPr>
        <w:pStyle w:val="ListParagraph"/>
        <w:numPr>
          <w:ilvl w:val="0"/>
          <w:numId w:val="2"/>
        </w:numPr>
        <w:spacing w:after="40" w:before="40" w:line="280"/>
      </w:pPr>
      <w:r>
        <w:rPr>
          <w:sz w:val="22"/>
          <w:szCs w:val="22"/>
        </w:rPr>
        <w:t xml:space="preserve">Crypto, futures, FX.</w:t>
      </w:r>
    </w:p>
    <w:p>
      <w:pPr>
        <w:pStyle w:val="ListParagraph"/>
        <w:numPr>
          <w:ilvl w:val="0"/>
          <w:numId w:val="2"/>
        </w:numPr>
        <w:spacing w:after="40" w:before="40" w:line="280"/>
      </w:pPr>
      <w:r>
        <w:rPr>
          <w:sz w:val="22"/>
          <w:szCs w:val="22"/>
        </w:rPr>
        <w:t xml:space="preserve">Auto-execution (the module ranks; the user executes manually).</w:t>
      </w:r>
    </w:p>
    <w:p>
      <w:r>
        <w:br w:type="page"/>
      </w:r>
    </w:p>
    <w:p>
      <w:pPr>
        <w:pStyle w:val="Heading1"/>
        <w:spacing w:after="180" w:before="360"/>
      </w:pPr>
      <w:r>
        <w:rPr>
          <w:b/>
          <w:bCs/>
          <w:color w:val="1F4E78"/>
          <w:sz w:val="36"/>
          <w:szCs w:val="36"/>
        </w:rPr>
        <w:t xml:space="preserve">13. Appendix</w:t>
      </w:r>
    </w:p>
    <w:p>
      <w:pPr>
        <w:pStyle w:val="Heading2"/>
        <w:spacing w:after="140" w:before="280"/>
      </w:pPr>
      <w:r>
        <w:rPr>
          <w:b/>
          <w:bCs/>
          <w:color w:val="2E75B6"/>
          <w:sz w:val="28"/>
          <w:szCs w:val="28"/>
        </w:rPr>
        <w:t xml:space="preserve">13.1 Worked Example (Illustrative Only)</w:t>
      </w:r>
    </w:p>
    <w:p>
      <w:pPr>
        <w:spacing w:after="60" w:before="60" w:line="300"/>
      </w:pPr>
      <w:r>
        <w:t xml:space="preserve">This example demonstrates the expected output structure. All numbers are illustrative — the engine must compute live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8"/>
              <w:bottom w:val="single" w:color="548235" w:sz="8"/>
              <w:right w:val="single" w:color="548235" w:sz="8"/>
            </w:tcBorders>
            <w:shd w:fill="E8F2E0" w:val="clear"/>
            <w:tcMar>
              <w:top w:type="dxa" w:w="160"/>
              <w:left w:type="dxa" w:w="200"/>
              <w:bottom w:type="dxa" w:w="160"/>
              <w:right w:type="dxa" w:w="200"/>
            </w:tcMar>
          </w:tcPr>
          <w:p>
            <w:pPr>
              <w:spacing w:after="80" w:before="40"/>
            </w:pPr>
            <w:r>
              <w:rPr>
                <w:b/>
                <w:bCs/>
                <w:color w:val="548235"/>
                <w:sz w:val="22"/>
                <w:szCs w:val="22"/>
              </w:rPr>
              <w:t xml:space="preserve">Example ranked opportunity — illustrative</w:t>
            </w:r>
          </w:p>
          <w:p>
            <w:pPr>
              <w:spacing w:after="60" w:before="60" w:line="300"/>
            </w:pPr>
            <w:r>
              <w:t xml:space="preserve">Rank: 1</w:t>
            </w:r>
          </w:p>
          <w:p>
            <w:pPr>
              <w:spacing w:after="60" w:before="60" w:line="300"/>
            </w:pPr>
            <w:r>
              <w:t xml:space="preserve">Ticker (LEAPS): MSFT @ $430 — Jan 2028 $360 Call, delta 0.81, premium $85.40, extrinsic 2.7%</w:t>
            </w:r>
          </w:p>
          <w:p>
            <w:pPr>
              <w:spacing w:after="60" w:before="60" w:line="300"/>
            </w:pPr>
            <w:r>
              <w:t xml:space="preserve">LEAPS sub-score: 9.2 (A+)</w:t>
            </w:r>
          </w:p>
          <w:p>
            <w:pPr>
              <w:spacing w:after="60" w:before="60" w:line="300"/>
            </w:pPr>
            <w:r>
              <w:t xml:space="preserve">Ticker (CSP): AMD @ $158 — 30 DTE $140 Put, delta −0.22, premium $1.85, annualized return 16.1%</w:t>
            </w:r>
          </w:p>
          <w:p>
            <w:pPr>
              <w:spacing w:after="60" w:before="60" w:line="300"/>
            </w:pPr>
            <w:r>
              <w:t xml:space="preserve">CSP sub-score: 7.8 (B+)</w:t>
            </w:r>
          </w:p>
          <w:p>
            <w:pPr>
              <w:spacing w:after="60" w:before="60" w:line="300"/>
            </w:pPr>
            <w:r>
              <w:t xml:space="preserve">Combined Score: (9.2 × 0.6) + (7.8 × 0.4) = 5.52 + 3.12 = 8.64 → Grade A</w:t>
            </w:r>
          </w:p>
          <w:p>
            <w:pPr>
              <w:spacing w:after="60" w:before="60" w:line="300"/>
            </w:pPr>
            <w:r>
              <w:t xml:space="preserve">Total cash to deploy: $8,540 (LEAPS premium) + $14,000 (CSP collateral) = $22,540</w:t>
            </w:r>
          </w:p>
          <w:p>
            <w:pPr>
              <w:spacing w:after="60" w:before="60" w:line="300"/>
            </w:pPr>
            <w:r>
              <w:t xml:space="preserve">Pairing mode: different-ticker (AMD CSP outscored MSFT same-ticker CSP by 1.4 points)</w:t>
            </w:r>
          </w:p>
          <w:p>
            <w:pPr>
              <w:spacing w:after="60" w:before="60" w:line="300"/>
            </w:pPr>
            <w:r>
              <w:t xml:space="preserve">Caution flags: none</w:t>
            </w:r>
          </w:p>
          <w:p>
            <w:pPr>
              <w:spacing w:after="60" w:before="60" w:line="300"/>
            </w:pPr>
            <w:r>
              <w:t xml:space="preserve">User decision: evaluate $22,540 against their available capital. The module does not pre-decide.</w:t>
            </w:r>
          </w:p>
        </w:tc>
      </w:tr>
    </w:tbl>
    <w:p>
      <w:pPr>
        <w:pStyle w:val="Heading2"/>
        <w:spacing w:after="140" w:before="280"/>
      </w:pPr>
      <w:r>
        <w:rPr>
          <w:b/>
          <w:bCs/>
          <w:color w:val="2E75B6"/>
          <w:sz w:val="28"/>
          <w:szCs w:val="28"/>
        </w:rPr>
        <w:t xml:space="preserve">13.2 Comparison to v1.0 Design</w:t>
      </w:r>
    </w:p>
    <w:p>
      <w:pPr>
        <w:spacing w:after="60" w:before="60" w:line="300"/>
      </w:pPr>
      <w:r>
        <w:t xml:space="preserve">This document is v2.0 of the SRS. Key differences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Concept (v1.0)</w:t>
            </w:r>
          </w:p>
        </w:tc>
        <w:tc>
          <w:tcPr>
            <w:tcW w:type="dxa" w:w="5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Status in v2.0</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6 fixed slots with per-slot capital allocation</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Removed. All qualifying opportunities ranked; no slot concept.</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~60/40 LEAPS/CSP capital split per slot</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Removed. The user decides allocation when reviewing opportunities.</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CSP strike × 100 must fit remaining slot capital</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Removed. CSP collateral is reported but not a hard fail.</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Price band $25–$300 (upper limit for capital fit)</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Replaced. Lower bound $10 retained for quality; no upper bound.</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Sector concentration scoring component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Removed. Replaced with "strike quality." Sector grouping moved to display-only toggle.</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"Empty slots = protected capital" doctrine</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Replaced with "all qualifying opportunities surfaced; user decides."</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Auto-pairing optimizing combined score across slots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Retained, but applied per-opportunity, not across-slot.</w:t>
            </w:r>
          </w:p>
        </w:tc>
      </w:tr>
    </w:tbl>
    <w:p>
      <w:pPr>
        <w:spacing w:after="120" w:before="120"/>
      </w:pPr>
      <w:r>
        <w:t xml:space="preserve"/>
      </w:r>
    </w:p>
    <w:p>
      <w:pPr>
        <w:pStyle w:val="Heading2"/>
        <w:spacing w:after="140" w:before="280"/>
      </w:pPr>
      <w:r>
        <w:rPr>
          <w:b/>
          <w:bCs/>
          <w:color w:val="2E75B6"/>
          <w:sz w:val="28"/>
          <w:szCs w:val="28"/>
        </w:rPr>
        <w:t xml:space="preserve">13.3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Term</w:t>
            </w:r>
          </w:p>
        </w:tc>
        <w:tc>
          <w:tcPr>
            <w:tcW w:type="dxa" w:w="7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Definition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LEAPS</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Long-term Equity Anticipation Securities — options with expiry &gt; 1 year</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CSP</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Cash-Secured Put — short put fully collateralized by cash</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PMCC</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Poor Man's Covered Call — long LEAPS + short call against it (NOT this strategy)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IVR</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Implied Volatility Rank — current IV percentile vs 252-day range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DTE</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Days to Expiration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Delta band</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Range of acceptable delta values for a contract</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Opportunity</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 LEAPS + CSP pairing (or LEAPS-only) ranked and presented in the output. Replaces the v1.0 "slot" concept.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Extrinsic value</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Premium − intrinsic value; the "time and IV" portion of the option price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Market gate</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System-wide check on broader market conditions before surfacing new opportunities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Hard fail</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A condition that fully removes a candidate from consideration based on opportunity QUALITY (never capital)</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Caution flag</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A condition that downgrades a candidate's score but does not eliminate it</w:t>
            </w:r>
          </w:p>
        </w:tc>
      </w:tr>
    </w:tbl>
    <w:p>
      <w:pPr>
        <w:spacing w:after="120" w:before="120"/>
      </w:pPr>
      <w:r>
        <w:t xml:space="preserve"/>
      </w:r>
    </w:p>
    <w:p>
      <w:pPr>
        <w:pStyle w:val="Heading2"/>
        <w:spacing w:after="140" w:before="280"/>
      </w:pPr>
      <w:r>
        <w:rPr>
          <w:b/>
          <w:bCs/>
          <w:color w:val="2E75B6"/>
          <w:sz w:val="28"/>
          <w:szCs w:val="28"/>
        </w:rPr>
        <w:t xml:space="preserve">13.4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Date</w:t>
            </w:r>
          </w:p>
        </w:tc>
        <w:tc>
          <w:tcPr>
            <w:tcW w:type="dxa" w:w="60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pPr>
              <w:spacing w:after="40" w:before="40"/>
            </w:pPr>
            <w:r>
              <w:rPr>
                <w:b/>
                <w:bCs/>
                <w:color w:val="FFFFFF"/>
                <w:sz w:val="20"/>
                <w:szCs w:val="20"/>
              </w:rPr>
              <w:t xml:space="preserve">Change</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1.0</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2026-05-25</w:t>
            </w:r>
          </w:p>
        </w:tc>
        <w:tc>
          <w:tcPr>
            <w:tcW w:type="dxa" w:w="6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sz w:val="20"/>
                <w:szCs w:val="20"/>
              </w:rPr>
              <w:t xml:space="preserve">Initial SRS with 6-slot capital allocation model.</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2.0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2026-05-25</w:t>
            </w:r>
          </w:p>
        </w:tc>
        <w:tc>
          <w:tcPr>
            <w:tcW w:type="dxa" w:w="6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sz w:val="20"/>
                <w:szCs w:val="20"/>
              </w:rPr>
              <w:t xml:space="preserve">Rewrote to opportunity-ranking model. Removed all slot/capital/allocation logic. Module now ranks all qualifying opportunities and lets the user decide deployment.</w:t>
            </w:r>
          </w:p>
        </w:tc>
      </w:tr>
    </w:tbl>
    <w:p>
      <w:pPr>
        <w:spacing w:after="120" w:before="120"/>
      </w:pPr>
      <w:r>
        <w:t xml:space="preserve"/>
      </w:r>
    </w:p>
    <w:p>
      <w:pPr>
        <w:pBdr>
          <w:bottom w:val="single" w:color="2E75B6" w:sz="6" w:space="1"/>
        </w:pBdr>
        <w:spacing w:after="120" w:before="120"/>
      </w:pPr>
      <w:r>
        <w:t xml:space="preserve"> </w:t>
      </w:r>
    </w:p>
    <w:p>
      <w:pPr>
        <w:spacing w:after="60" w:before="60" w:line="300"/>
        <w:rPr>
          <w:i/>
          <w:iCs/>
          <w:color w:val="595959"/>
        </w:rPr>
      </w:pPr>
      <w:r>
        <w:rPr>
          <w:i/>
          <w:iCs/>
          <w:color w:val="595959"/>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r>
      <w:rPr>
        <w:color w:val="595959"/>
        <w:sz w:val="18"/>
        <w:szCs w:val="18"/>
      </w:rPr>
      <w:t xml:space="preserve">    |    Confidential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595959"/>
        <w:sz w:val="18"/>
        <w:szCs w:val="18"/>
      </w:rPr>
      <w:t xml:space="preserve">SRS — LEAPS-CSP Stock Replacement Strategy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lvl w:ilvl="1" w15:tentative="1">
      <w:start w:val="1"/>
      <w:numFmt w:val="bullet"/>
      <w:lvlText w:val="◦"/>
      <w:lvlJc w:val="left"/>
      <w:pPr>
        <w:ind w:left="144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LEAPS-CSP Replacement Strategy v2.0</dc:title>
  <dc:creator>Shaikh Ali</dc:creator>
  <cp:lastModifiedBy>Un-named</cp:lastModifiedBy>
  <cp:revision>1</cp:revision>
  <dcterms:created xsi:type="dcterms:W3CDTF">2026-05-25T19:14:56.088Z</dcterms:created>
  <dcterms:modified xsi:type="dcterms:W3CDTF">2026-05-25T19:14:56.088Z</dcterms:modified>
</cp:coreProperties>
</file>

<file path=docProps/custom.xml><?xml version="1.0" encoding="utf-8"?>
<Properties xmlns="http://schemas.openxmlformats.org/officeDocument/2006/custom-properties" xmlns:vt="http://schemas.openxmlformats.org/officeDocument/2006/docPropsVTypes"/>
</file>