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120" w:before="480"/>
        <w:jc w:val="center"/>
      </w:pPr>
      <w:r>
        <w:rPr>
          <w:rFonts w:ascii="Arial" w:cs="Arial" w:eastAsia="Arial" w:hAnsi="Arial"/>
          <w:b/>
          <w:bCs/>
          <w:color w:val="1F4E79"/>
          <w:sz w:val="28"/>
          <w:szCs w:val="28"/>
        </w:rPr>
        <w:t xml:space="preserve">Universidad Federico Henríquez &amp; Carvajal</w:t>
      </w:r>
    </w:p>
    <w:p>
      <w:pPr>
        <w:spacing w:after="60" w:before="0"/>
        <w:jc w:val="center"/>
      </w:pPr>
      <w:r>
        <w:rPr>
          <w:rFonts w:ascii="Arial" w:cs="Arial" w:eastAsia="Arial" w:hAnsi="Arial"/>
          <w:b/>
          <w:bCs/>
          <w:color w:val="1F4E79"/>
          <w:sz w:val="26"/>
          <w:szCs w:val="26"/>
        </w:rPr>
        <w:t xml:space="preserve">“UFHEC”</w:t>
      </w:r>
    </w:p>
    <w:p>
      <w:pPr>
        <w:spacing w:after="60" w:before="60"/>
        <w:jc w:val="center"/>
      </w:pPr>
      <w:r>
        <w:rPr>
          <w:rFonts w:ascii="Arial" w:cs="Arial" w:eastAsia="Arial" w:hAnsi="Arial"/>
          <w:sz w:val="24"/>
          <w:szCs w:val="24"/>
        </w:rPr>
        <w:t xml:space="preserve">Campus Santo Domingo</w:t>
      </w:r>
    </w:p>
    <w:p>
      <w:pPr>
        <w:spacing w:after="60" w:before="60"/>
        <w:jc w:val="center"/>
      </w:pPr>
      <w:r>
        <w:rPr>
          <w:rFonts w:ascii="Arial" w:cs="Arial" w:eastAsia="Arial" w:hAnsi="Arial"/>
          <w:sz w:val="24"/>
          <w:szCs w:val="24"/>
        </w:rPr>
        <w:t xml:space="preserve">Postgrado</w:t>
      </w:r>
    </w:p>
    <w:p>
      <w:pPr>
        <w:spacing w:after="60" w:before="60"/>
        <w:jc w:val="center"/>
      </w:pPr>
      <w:r>
        <w:rPr>
          <w:rFonts w:ascii="Arial" w:cs="Arial" w:eastAsia="Arial" w:hAnsi="Arial"/>
          <w:b/>
          <w:bCs/>
          <w:sz w:val="24"/>
          <w:szCs w:val="24"/>
        </w:rPr>
        <w:t xml:space="preserve">Maestría en Inteligencia Artificial orientada a Educación</w:t>
      </w:r>
    </w:p>
    <w:p>
      <w:pPr>
        <w:pBdr>
          <w:bottom w:val="single" w:color="2E75B6" w:sz="8" w:space="4"/>
        </w:pBdr>
        <w:spacing w:after="120" w:before="480"/>
        <w:jc w:val="center"/>
      </w:pPr>
      <w:r>
        <w:rPr>
          <w:rFonts w:ascii="Arial" w:cs="Arial" w:eastAsia="Arial" w:hAnsi="Arial"/>
          <w:b/>
          <w:bCs/>
          <w:color w:val="2E75B6"/>
          <w:sz w:val="24"/>
          <w:szCs w:val="24"/>
        </w:rPr>
        <w:t xml:space="preserve">Informe Final de Proyecto</w:t>
      </w:r>
    </w:p>
    <w:p>
      <w:pPr>
        <w:spacing w:after="480" w:before="240"/>
        <w:jc w:val="center"/>
      </w:pPr>
      <w:r>
        <w:rPr>
          <w:rFonts w:ascii="Arial" w:cs="Arial" w:eastAsia="Arial" w:hAnsi="Arial"/>
          <w:b/>
          <w:bCs/>
          <w:color w:val="1F4E79"/>
          <w:sz w:val="32"/>
          <w:szCs w:val="32"/>
        </w:rPr>
        <w:t xml:space="preserve">Predicción del Riesgo de Reprobación Escolar mediante Análisis de Datos Educativos y Aprendizaje Automático</w:t>
      </w:r>
    </w:p>
    <w:p>
      <w:pPr>
        <w:spacing w:after="60" w:before="60"/>
        <w:jc w:val="center"/>
      </w:pPr>
      <w:r>
        <w:rPr>
          <w:rFonts w:ascii="Arial" w:cs="Arial" w:eastAsia="Arial" w:hAnsi="Arial"/>
          <w:i/>
          <w:iCs/>
          <w:color w:val="666666"/>
          <w:sz w:val="24"/>
          <w:szCs w:val="24"/>
        </w:rPr>
        <w:t xml:space="preserve">Adaptado al Sistema Educativo Dominicano</w:t>
      </w:r>
    </w:p>
    <w:p>
      <w:pPr>
        <w:spacing w:after="60" w:before="480"/>
      </w:pPr>
    </w:p>
    <w:p>
      <w:pPr>
        <w:jc w:val="center"/>
      </w:pPr>
      <w:r>
        <w:rPr>
          <w:rFonts w:ascii="Arial" w:cs="Arial" w:eastAsia="Arial" w:hAnsi="Arial"/>
          <w:b/>
          <w:bCs/>
          <w:sz w:val="22"/>
          <w:szCs w:val="22"/>
        </w:rPr>
        <w:t xml:space="preserve">Participantes:</w:t>
      </w:r>
    </w:p>
    <w:p>
      <w:pPr>
        <w:jc w:val="center"/>
      </w:pPr>
      <w:r>
        <w:rPr>
          <w:rFonts w:ascii="Arial" w:cs="Arial" w:eastAsia="Arial" w:hAnsi="Arial"/>
          <w:sz w:val="22"/>
          <w:szCs w:val="22"/>
        </w:rPr>
        <w:t xml:space="preserve">Ligia Elena Herrera Frías — Matrícula: MT-2026-02268</w:t>
      </w:r>
    </w:p>
    <w:p>
      <w:pPr>
        <w:jc w:val="center"/>
      </w:pPr>
      <w:r>
        <w:rPr>
          <w:rFonts w:ascii="Arial" w:cs="Arial" w:eastAsia="Arial" w:hAnsi="Arial"/>
          <w:sz w:val="22"/>
          <w:szCs w:val="22"/>
        </w:rPr>
        <w:t xml:space="preserve">Alisandro Madé Díaz — Matrícula: MT-2026-02269</w:t>
      </w:r>
    </w:p>
    <w:p>
      <w:pPr>
        <w:spacing w:after="60" w:before="120"/>
      </w:pPr>
    </w:p>
    <w:p>
      <w:pPr>
        <w:jc w:val="center"/>
      </w:pPr>
      <w:r>
        <w:rPr>
          <w:rFonts w:ascii="Arial" w:cs="Arial" w:eastAsia="Arial" w:hAnsi="Arial"/>
          <w:b/>
          <w:bCs/>
          <w:sz w:val="22"/>
          <w:szCs w:val="22"/>
        </w:rPr>
        <w:t xml:space="preserve">Asignatura:</w:t>
      </w:r>
    </w:p>
    <w:p>
      <w:pPr>
        <w:jc w:val="center"/>
      </w:pPr>
      <w:r>
        <w:rPr>
          <w:rFonts w:ascii="Arial" w:cs="Arial" w:eastAsia="Arial" w:hAnsi="Arial"/>
          <w:sz w:val="22"/>
          <w:szCs w:val="22"/>
        </w:rPr>
        <w:t xml:space="preserve">Propedéutico Inteligencia Artificial 20262-MT01</w:t>
      </w:r>
    </w:p>
    <w:p>
      <w:pPr>
        <w:spacing w:after="60" w:before="120"/>
      </w:pPr>
    </w:p>
    <w:p>
      <w:pPr>
        <w:jc w:val="center"/>
      </w:pPr>
      <w:r>
        <w:rPr>
          <w:rFonts w:ascii="Arial" w:cs="Arial" w:eastAsia="Arial" w:hAnsi="Arial"/>
          <w:b/>
          <w:bCs/>
          <w:sz w:val="22"/>
          <w:szCs w:val="22"/>
        </w:rPr>
        <w:t xml:space="preserve">Maestro:</w:t>
      </w:r>
    </w:p>
    <w:p>
      <w:pPr>
        <w:jc w:val="center"/>
      </w:pPr>
      <w:r>
        <w:rPr>
          <w:rFonts w:ascii="Arial" w:cs="Arial" w:eastAsia="Arial" w:hAnsi="Arial"/>
          <w:sz w:val="22"/>
          <w:szCs w:val="22"/>
        </w:rPr>
        <w:t xml:space="preserve">Darwin Muñoz, Ph. D.</w:t>
      </w:r>
    </w:p>
    <w:p>
      <w:pPr>
        <w:spacing w:after="60" w:before="120"/>
      </w:pPr>
    </w:p>
    <w:p>
      <w:pPr>
        <w:jc w:val="center"/>
      </w:pPr>
      <w:r>
        <w:rPr>
          <w:rFonts w:ascii="Arial" w:cs="Arial" w:eastAsia="Arial" w:hAnsi="Arial"/>
          <w:b/>
          <w:bCs/>
          <w:sz w:val="22"/>
          <w:szCs w:val="22"/>
        </w:rPr>
        <w:t xml:space="preserve">Fecha:</w:t>
      </w:r>
    </w:p>
    <w:p>
      <w:pPr>
        <w:jc w:val="center"/>
      </w:pPr>
      <w:r>
        <w:rPr>
          <w:rFonts w:ascii="Arial" w:cs="Arial" w:eastAsia="Arial" w:hAnsi="Arial"/>
          <w:sz w:val="22"/>
          <w:szCs w:val="22"/>
        </w:rPr>
        <w:t xml:space="preserve">06 de junio de 2026</w:t>
      </w:r>
    </w:p>
    <w:p>
      <w:pPr>
        <w:sectPr>
          <w:pgSz w:w="12240" w:h="15840" w:orient="portrait"/>
          <w:pgMar w:top="1440" w:right="1440" w:bottom="1440" w:left="1800" w:header="708" w:footer="708" w:gutter="0"/>
          <w:pgNumType/>
          <w:docGrid w:linePitch="360"/>
        </w:sectPr>
      </w:pPr>
    </w:p>
    <w:p>
      <w:pPr>
        <w:pBdr>
          <w:bottom w:val="single" w:color="2E75B6" w:sz="8" w:space="8"/>
        </w:pBdr>
        <w:spacing w:after="360" w:before="0"/>
        <w:jc w:val="center"/>
      </w:pPr>
      <w:r>
        <w:rPr>
          <w:rFonts w:ascii="Arial" w:cs="Arial" w:eastAsia="Arial" w:hAnsi="Arial"/>
          <w:b/>
          <w:bCs/>
          <w:color w:val="1F4E79"/>
          <w:sz w:val="32"/>
          <w:szCs w:val="32"/>
        </w:rPr>
        <w:t xml:space="preserve">Índice de Contenido</w:t>
      </w:r>
    </w:p>
    <w:p>
      <w:pPr>
        <w:spacing w:after="60" w:before="60"/>
        <w:ind w:left="0"/>
      </w:pPr>
      <w:r>
        <w:rPr>
          <w:rFonts w:ascii="Arial" w:cs="Arial" w:eastAsia="Arial" w:hAnsi="Arial"/>
          <w:sz w:val="22"/>
          <w:szCs w:val="22"/>
        </w:rPr>
        <w:t xml:space="preserve">1. Introducción</w:t>
      </w:r>
      <w:r>
        <w:rPr>
          <w:rFonts w:ascii="Arial" w:cs="Arial" w:eastAsia="Arial" w:hAnsi="Arial"/>
          <w:sz w:val="22"/>
          <w:szCs w:val="22"/>
        </w:rPr>
        <w:ptab w:alignment="right" w:relativeTo="margin" w:leader="dot"/>
        <w:t xml:space="preserve">3</w:t>
      </w:r>
    </w:p>
    <w:p>
      <w:pPr>
        <w:spacing w:after="60" w:before="60"/>
        <w:ind w:left="0"/>
      </w:pPr>
      <w:r>
        <w:rPr>
          <w:rFonts w:ascii="Arial" w:cs="Arial" w:eastAsia="Arial" w:hAnsi="Arial"/>
          <w:sz w:val="22"/>
          <w:szCs w:val="22"/>
        </w:rPr>
        <w:t xml:space="preserve">2. Formulación del Problema</w:t>
      </w:r>
      <w:r>
        <w:rPr>
          <w:rFonts w:ascii="Arial" w:cs="Arial" w:eastAsia="Arial" w:hAnsi="Arial"/>
          <w:sz w:val="22"/>
          <w:szCs w:val="22"/>
        </w:rPr>
        <w:ptab w:alignment="right" w:relativeTo="margin" w:leader="dot"/>
        <w:t xml:space="preserve">4</w:t>
      </w:r>
    </w:p>
    <w:p>
      <w:pPr>
        <w:spacing w:after="60" w:before="60"/>
        <w:ind w:left="360"/>
      </w:pPr>
      <w:r>
        <w:rPr>
          <w:rFonts w:ascii="Arial" w:cs="Arial" w:eastAsia="Arial" w:hAnsi="Arial"/>
          <w:sz w:val="22"/>
          <w:szCs w:val="22"/>
        </w:rPr>
        <w:t xml:space="preserve">2.1 Planteamiento del Problema</w:t>
      </w:r>
      <w:r>
        <w:rPr>
          <w:rFonts w:ascii="Arial" w:cs="Arial" w:eastAsia="Arial" w:hAnsi="Arial"/>
          <w:sz w:val="22"/>
          <w:szCs w:val="22"/>
        </w:rPr>
        <w:ptab w:alignment="right" w:relativeTo="margin" w:leader="dot"/>
        <w:t xml:space="preserve">4</w:t>
      </w:r>
    </w:p>
    <w:p>
      <w:pPr>
        <w:spacing w:after="60" w:before="60"/>
        <w:ind w:left="360"/>
      </w:pPr>
      <w:r>
        <w:rPr>
          <w:rFonts w:ascii="Arial" w:cs="Arial" w:eastAsia="Arial" w:hAnsi="Arial"/>
          <w:sz w:val="22"/>
          <w:szCs w:val="22"/>
        </w:rPr>
        <w:t xml:space="preserve">2.2 Objetivos del Proyecto</w:t>
      </w:r>
      <w:r>
        <w:rPr>
          <w:rFonts w:ascii="Arial" w:cs="Arial" w:eastAsia="Arial" w:hAnsi="Arial"/>
          <w:sz w:val="22"/>
          <w:szCs w:val="22"/>
        </w:rPr>
        <w:ptab w:alignment="right" w:relativeTo="margin" w:leader="dot"/>
        <w:t xml:space="preserve">5</w:t>
      </w:r>
    </w:p>
    <w:p>
      <w:pPr>
        <w:spacing w:after="60" w:before="60"/>
        <w:ind w:left="360"/>
      </w:pPr>
      <w:r>
        <w:rPr>
          <w:rFonts w:ascii="Arial" w:cs="Arial" w:eastAsia="Arial" w:hAnsi="Arial"/>
          <w:sz w:val="22"/>
          <w:szCs w:val="22"/>
        </w:rPr>
        <w:t xml:space="preserve">2.3 Justificación</w:t>
      </w:r>
      <w:r>
        <w:rPr>
          <w:rFonts w:ascii="Arial" w:cs="Arial" w:eastAsia="Arial" w:hAnsi="Arial"/>
          <w:sz w:val="22"/>
          <w:szCs w:val="22"/>
        </w:rPr>
        <w:ptab w:alignment="right" w:relativeTo="margin" w:leader="dot"/>
        <w:t xml:space="preserve">5</w:t>
      </w:r>
    </w:p>
    <w:p>
      <w:pPr>
        <w:spacing w:after="60" w:before="60"/>
        <w:ind w:left="360"/>
      </w:pPr>
      <w:r>
        <w:rPr>
          <w:rFonts w:ascii="Arial" w:cs="Arial" w:eastAsia="Arial" w:hAnsi="Arial"/>
          <w:sz w:val="22"/>
          <w:szCs w:val="22"/>
        </w:rPr>
        <w:t xml:space="preserve">2.4 Beneficiarios</w:t>
      </w:r>
      <w:r>
        <w:rPr>
          <w:rFonts w:ascii="Arial" w:cs="Arial" w:eastAsia="Arial" w:hAnsi="Arial"/>
          <w:sz w:val="22"/>
          <w:szCs w:val="22"/>
        </w:rPr>
        <w:ptab w:alignment="right" w:relativeTo="margin" w:leader="dot"/>
        <w:t xml:space="preserve">6</w:t>
      </w:r>
    </w:p>
    <w:p>
      <w:pPr>
        <w:spacing w:after="60" w:before="60"/>
        <w:ind w:left="0"/>
      </w:pPr>
      <w:r>
        <w:rPr>
          <w:rFonts w:ascii="Arial" w:cs="Arial" w:eastAsia="Arial" w:hAnsi="Arial"/>
          <w:sz w:val="22"/>
          <w:szCs w:val="22"/>
        </w:rPr>
        <w:t xml:space="preserve">3. Descripción del Dataset</w:t>
      </w:r>
      <w:r>
        <w:rPr>
          <w:rFonts w:ascii="Arial" w:cs="Arial" w:eastAsia="Arial" w:hAnsi="Arial"/>
          <w:sz w:val="22"/>
          <w:szCs w:val="22"/>
        </w:rPr>
        <w:ptab w:alignment="right" w:relativeTo="margin" w:leader="dot"/>
        <w:t xml:space="preserve">7</w:t>
      </w:r>
    </w:p>
    <w:p>
      <w:pPr>
        <w:spacing w:after="60" w:before="60"/>
        <w:ind w:left="360"/>
      </w:pPr>
      <w:r>
        <w:rPr>
          <w:rFonts w:ascii="Arial" w:cs="Arial" w:eastAsia="Arial" w:hAnsi="Arial"/>
          <w:sz w:val="22"/>
          <w:szCs w:val="22"/>
        </w:rPr>
        <w:t xml:space="preserve">3.1 Fuente y Características Generales</w:t>
      </w:r>
      <w:r>
        <w:rPr>
          <w:rFonts w:ascii="Arial" w:cs="Arial" w:eastAsia="Arial" w:hAnsi="Arial"/>
          <w:sz w:val="22"/>
          <w:szCs w:val="22"/>
        </w:rPr>
        <w:ptab w:alignment="right" w:relativeTo="margin" w:leader="dot"/>
        <w:t xml:space="preserve">7</w:t>
      </w:r>
    </w:p>
    <w:p>
      <w:pPr>
        <w:spacing w:after="60" w:before="60"/>
        <w:ind w:left="360"/>
      </w:pPr>
      <w:r>
        <w:rPr>
          <w:rFonts w:ascii="Arial" w:cs="Arial" w:eastAsia="Arial" w:hAnsi="Arial"/>
          <w:sz w:val="22"/>
          <w:szCs w:val="22"/>
        </w:rPr>
        <w:t xml:space="preserve">3.2 Variables del Dataset</w:t>
      </w:r>
      <w:r>
        <w:rPr>
          <w:rFonts w:ascii="Arial" w:cs="Arial" w:eastAsia="Arial" w:hAnsi="Arial"/>
          <w:sz w:val="22"/>
          <w:szCs w:val="22"/>
        </w:rPr>
        <w:ptab w:alignment="right" w:relativeTo="margin" w:leader="dot"/>
        <w:t xml:space="preserve">8</w:t>
      </w:r>
    </w:p>
    <w:p>
      <w:pPr>
        <w:spacing w:after="60" w:before="60"/>
        <w:ind w:left="360"/>
      </w:pPr>
      <w:r>
        <w:rPr>
          <w:rFonts w:ascii="Arial" w:cs="Arial" w:eastAsia="Arial" w:hAnsi="Arial"/>
          <w:sz w:val="22"/>
          <w:szCs w:val="22"/>
        </w:rPr>
        <w:t xml:space="preserve">3.3 Posibles Sesgos en los Datos</w:t>
      </w:r>
      <w:r>
        <w:rPr>
          <w:rFonts w:ascii="Arial" w:cs="Arial" w:eastAsia="Arial" w:hAnsi="Arial"/>
          <w:sz w:val="22"/>
          <w:szCs w:val="22"/>
        </w:rPr>
        <w:ptab w:alignment="right" w:relativeTo="margin" w:leader="dot"/>
        <w:t xml:space="preserve">9</w:t>
      </w:r>
    </w:p>
    <w:p>
      <w:pPr>
        <w:spacing w:after="60" w:before="60"/>
        <w:ind w:left="0"/>
      </w:pPr>
      <w:r>
        <w:rPr>
          <w:rFonts w:ascii="Arial" w:cs="Arial" w:eastAsia="Arial" w:hAnsi="Arial"/>
          <w:sz w:val="22"/>
          <w:szCs w:val="22"/>
        </w:rPr>
        <w:t xml:space="preserve">4. Procesamiento y Análisis de Datos</w:t>
      </w:r>
      <w:r>
        <w:rPr>
          <w:rFonts w:ascii="Arial" w:cs="Arial" w:eastAsia="Arial" w:hAnsi="Arial"/>
          <w:sz w:val="22"/>
          <w:szCs w:val="22"/>
        </w:rPr>
        <w:ptab w:alignment="right" w:relativeTo="margin" w:leader="dot"/>
        <w:t xml:space="preserve">10</w:t>
      </w:r>
    </w:p>
    <w:p>
      <w:pPr>
        <w:spacing w:after="60" w:before="60"/>
        <w:ind w:left="360"/>
      </w:pPr>
      <w:r>
        <w:rPr>
          <w:rFonts w:ascii="Arial" w:cs="Arial" w:eastAsia="Arial" w:hAnsi="Arial"/>
          <w:sz w:val="22"/>
          <w:szCs w:val="22"/>
        </w:rPr>
        <w:t xml:space="preserve">4.1 Limpieza de Datos</w:t>
      </w:r>
      <w:r>
        <w:rPr>
          <w:rFonts w:ascii="Arial" w:cs="Arial" w:eastAsia="Arial" w:hAnsi="Arial"/>
          <w:sz w:val="22"/>
          <w:szCs w:val="22"/>
        </w:rPr>
        <w:ptab w:alignment="right" w:relativeTo="margin" w:leader="dot"/>
        <w:t xml:space="preserve">10</w:t>
      </w:r>
    </w:p>
    <w:p>
      <w:pPr>
        <w:spacing w:after="60" w:before="60"/>
        <w:ind w:left="360"/>
      </w:pPr>
      <w:r>
        <w:rPr>
          <w:rFonts w:ascii="Arial" w:cs="Arial" w:eastAsia="Arial" w:hAnsi="Arial"/>
          <w:sz w:val="22"/>
          <w:szCs w:val="22"/>
        </w:rPr>
        <w:t xml:space="preserve">4.2 Análisis Exploratorio</w:t>
      </w:r>
      <w:r>
        <w:rPr>
          <w:rFonts w:ascii="Arial" w:cs="Arial" w:eastAsia="Arial" w:hAnsi="Arial"/>
          <w:sz w:val="22"/>
          <w:szCs w:val="22"/>
        </w:rPr>
        <w:ptab w:alignment="right" w:relativeTo="margin" w:leader="dot"/>
        <w:t xml:space="preserve">11</w:t>
      </w:r>
    </w:p>
    <w:p>
      <w:pPr>
        <w:spacing w:after="60" w:before="60"/>
        <w:ind w:left="360"/>
      </w:pPr>
      <w:r>
        <w:rPr>
          <w:rFonts w:ascii="Arial" w:cs="Arial" w:eastAsia="Arial" w:hAnsi="Arial"/>
          <w:sz w:val="22"/>
          <w:szCs w:val="22"/>
        </w:rPr>
        <w:t xml:space="preserve">4.3 Visualizaciones e Identificación de Patrones</w:t>
      </w:r>
      <w:r>
        <w:rPr>
          <w:rFonts w:ascii="Arial" w:cs="Arial" w:eastAsia="Arial" w:hAnsi="Arial"/>
          <w:sz w:val="22"/>
          <w:szCs w:val="22"/>
        </w:rPr>
        <w:ptab w:alignment="right" w:relativeTo="margin" w:leader="dot"/>
        <w:t xml:space="preserve">12</w:t>
      </w:r>
    </w:p>
    <w:p>
      <w:pPr>
        <w:spacing w:after="60" w:before="60"/>
        <w:ind w:left="0"/>
      </w:pPr>
      <w:r>
        <w:rPr>
          <w:rFonts w:ascii="Arial" w:cs="Arial" w:eastAsia="Arial" w:hAnsi="Arial"/>
          <w:sz w:val="22"/>
          <w:szCs w:val="22"/>
        </w:rPr>
        <w:t xml:space="preserve">5. Desarrollo del Modelo de IA</w:t>
      </w:r>
      <w:r>
        <w:rPr>
          <w:rFonts w:ascii="Arial" w:cs="Arial" w:eastAsia="Arial" w:hAnsi="Arial"/>
          <w:sz w:val="22"/>
          <w:szCs w:val="22"/>
        </w:rPr>
        <w:ptab w:alignment="right" w:relativeTo="margin" w:leader="dot"/>
        <w:t xml:space="preserve">13</w:t>
      </w:r>
    </w:p>
    <w:p>
      <w:pPr>
        <w:spacing w:after="60" w:before="60"/>
        <w:ind w:left="360"/>
      </w:pPr>
      <w:r>
        <w:rPr>
          <w:rFonts w:ascii="Arial" w:cs="Arial" w:eastAsia="Arial" w:hAnsi="Arial"/>
          <w:sz w:val="22"/>
          <w:szCs w:val="22"/>
        </w:rPr>
        <w:t xml:space="preserve">5.1 Selección y Justificación de Modelos</w:t>
      </w:r>
      <w:r>
        <w:rPr>
          <w:rFonts w:ascii="Arial" w:cs="Arial" w:eastAsia="Arial" w:hAnsi="Arial"/>
          <w:sz w:val="22"/>
          <w:szCs w:val="22"/>
        </w:rPr>
        <w:ptab w:alignment="right" w:relativeTo="margin" w:leader="dot"/>
        <w:t xml:space="preserve">13</w:t>
      </w:r>
    </w:p>
    <w:p>
      <w:pPr>
        <w:spacing w:after="60" w:before="60"/>
        <w:ind w:left="360"/>
      </w:pPr>
      <w:r>
        <w:rPr>
          <w:rFonts w:ascii="Arial" w:cs="Arial" w:eastAsia="Arial" w:hAnsi="Arial"/>
          <w:sz w:val="22"/>
          <w:szCs w:val="22"/>
        </w:rPr>
        <w:t xml:space="preserve">5.2 Árbol de Decisión</w:t>
      </w:r>
      <w:r>
        <w:rPr>
          <w:rFonts w:ascii="Arial" w:cs="Arial" w:eastAsia="Arial" w:hAnsi="Arial"/>
          <w:sz w:val="22"/>
          <w:szCs w:val="22"/>
        </w:rPr>
        <w:ptab w:alignment="right" w:relativeTo="margin" w:leader="dot"/>
        <w:t xml:space="preserve">13</w:t>
      </w:r>
    </w:p>
    <w:p>
      <w:pPr>
        <w:spacing w:after="60" w:before="60"/>
        <w:ind w:left="360"/>
      </w:pPr>
      <w:r>
        <w:rPr>
          <w:rFonts w:ascii="Arial" w:cs="Arial" w:eastAsia="Arial" w:hAnsi="Arial"/>
          <w:sz w:val="22"/>
          <w:szCs w:val="22"/>
        </w:rPr>
        <w:t xml:space="preserve">5.3 Regresión Logística</w:t>
      </w:r>
      <w:r>
        <w:rPr>
          <w:rFonts w:ascii="Arial" w:cs="Arial" w:eastAsia="Arial" w:hAnsi="Arial"/>
          <w:sz w:val="22"/>
          <w:szCs w:val="22"/>
        </w:rPr>
        <w:ptab w:alignment="right" w:relativeTo="margin" w:leader="dot"/>
        <w:t xml:space="preserve">14</w:t>
      </w:r>
    </w:p>
    <w:p>
      <w:pPr>
        <w:spacing w:after="60" w:before="60"/>
        <w:ind w:left="360"/>
      </w:pPr>
      <w:r>
        <w:rPr>
          <w:rFonts w:ascii="Arial" w:cs="Arial" w:eastAsia="Arial" w:hAnsi="Arial"/>
          <w:sz w:val="22"/>
          <w:szCs w:val="22"/>
        </w:rPr>
        <w:t xml:space="preserve">5.4 Comparación de Modelos</w:t>
      </w:r>
      <w:r>
        <w:rPr>
          <w:rFonts w:ascii="Arial" w:cs="Arial" w:eastAsia="Arial" w:hAnsi="Arial"/>
          <w:sz w:val="22"/>
          <w:szCs w:val="22"/>
        </w:rPr>
        <w:ptab w:alignment="right" w:relativeTo="margin" w:leader="dot"/>
        <w:t xml:space="preserve">15</w:t>
      </w:r>
    </w:p>
    <w:p>
      <w:pPr>
        <w:spacing w:after="60" w:before="60"/>
        <w:ind w:left="0"/>
      </w:pPr>
      <w:r>
        <w:rPr>
          <w:rFonts w:ascii="Arial" w:cs="Arial" w:eastAsia="Arial" w:hAnsi="Arial"/>
          <w:sz w:val="22"/>
          <w:szCs w:val="22"/>
        </w:rPr>
        <w:t xml:space="preserve">6. Resultados y Discusión</w:t>
      </w:r>
      <w:r>
        <w:rPr>
          <w:rFonts w:ascii="Arial" w:cs="Arial" w:eastAsia="Arial" w:hAnsi="Arial"/>
          <w:sz w:val="22"/>
          <w:szCs w:val="22"/>
        </w:rPr>
        <w:ptab w:alignment="right" w:relativeTo="margin" w:leader="dot"/>
        <w:t xml:space="preserve">16</w:t>
      </w:r>
    </w:p>
    <w:p>
      <w:pPr>
        <w:spacing w:after="60" w:before="60"/>
        <w:ind w:left="0"/>
      </w:pPr>
      <w:r>
        <w:rPr>
          <w:rFonts w:ascii="Arial" w:cs="Arial" w:eastAsia="Arial" w:hAnsi="Arial"/>
          <w:sz w:val="22"/>
          <w:szCs w:val="22"/>
        </w:rPr>
        <w:t xml:space="preserve">7. Reflexión Ética</w:t>
      </w:r>
      <w:r>
        <w:rPr>
          <w:rFonts w:ascii="Arial" w:cs="Arial" w:eastAsia="Arial" w:hAnsi="Arial"/>
          <w:sz w:val="22"/>
          <w:szCs w:val="22"/>
        </w:rPr>
        <w:ptab w:alignment="right" w:relativeTo="margin" w:leader="dot"/>
        <w:t xml:space="preserve">18</w:t>
      </w:r>
    </w:p>
    <w:p>
      <w:pPr>
        <w:spacing w:after="60" w:before="60"/>
        <w:ind w:left="360"/>
      </w:pPr>
      <w:r>
        <w:rPr>
          <w:rFonts w:ascii="Arial" w:cs="Arial" w:eastAsia="Arial" w:hAnsi="Arial"/>
          <w:sz w:val="22"/>
          <w:szCs w:val="22"/>
        </w:rPr>
        <w:t xml:space="preserve">7.1 Privacidad y Protección de Datos</w:t>
      </w:r>
      <w:r>
        <w:rPr>
          <w:rFonts w:ascii="Arial" w:cs="Arial" w:eastAsia="Arial" w:hAnsi="Arial"/>
          <w:sz w:val="22"/>
          <w:szCs w:val="22"/>
        </w:rPr>
        <w:ptab w:alignment="right" w:relativeTo="margin" w:leader="dot"/>
        <w:t xml:space="preserve">18</w:t>
      </w:r>
    </w:p>
    <w:p>
      <w:pPr>
        <w:spacing w:after="60" w:before="60"/>
        <w:ind w:left="360"/>
      </w:pPr>
      <w:r>
        <w:rPr>
          <w:rFonts w:ascii="Arial" w:cs="Arial" w:eastAsia="Arial" w:hAnsi="Arial"/>
          <w:sz w:val="22"/>
          <w:szCs w:val="22"/>
        </w:rPr>
        <w:t xml:space="preserve">7.2 Riesgo de Estigmatización y Profecía Autocumplida</w:t>
      </w:r>
      <w:r>
        <w:rPr>
          <w:rFonts w:ascii="Arial" w:cs="Arial" w:eastAsia="Arial" w:hAnsi="Arial"/>
          <w:sz w:val="22"/>
          <w:szCs w:val="22"/>
        </w:rPr>
        <w:ptab w:alignment="right" w:relativeTo="margin" w:leader="dot"/>
        <w:t xml:space="preserve">19</w:t>
      </w:r>
    </w:p>
    <w:p>
      <w:pPr>
        <w:spacing w:after="60" w:before="60"/>
        <w:ind w:left="360"/>
      </w:pPr>
      <w:r>
        <w:rPr>
          <w:rFonts w:ascii="Arial" w:cs="Arial" w:eastAsia="Arial" w:hAnsi="Arial"/>
          <w:sz w:val="22"/>
          <w:szCs w:val="22"/>
        </w:rPr>
        <w:t xml:space="preserve">7.3 Equidad Algorítmica y Sesgo Discriminatorio</w:t>
      </w:r>
      <w:r>
        <w:rPr>
          <w:rFonts w:ascii="Arial" w:cs="Arial" w:eastAsia="Arial" w:hAnsi="Arial"/>
          <w:sz w:val="22"/>
          <w:szCs w:val="22"/>
        </w:rPr>
        <w:ptab w:alignment="right" w:relativeTo="margin" w:leader="dot"/>
        <w:t xml:space="preserve">19</w:t>
      </w:r>
    </w:p>
    <w:p>
      <w:pPr>
        <w:spacing w:after="60" w:before="60"/>
        <w:ind w:left="360"/>
      </w:pPr>
      <w:r>
        <w:rPr>
          <w:rFonts w:ascii="Arial" w:cs="Arial" w:eastAsia="Arial" w:hAnsi="Arial"/>
          <w:sz w:val="22"/>
          <w:szCs w:val="22"/>
        </w:rPr>
        <w:t xml:space="preserve">7.4 Derecho al Debido Proceso y a la Impugnación</w:t>
      </w:r>
      <w:r>
        <w:rPr>
          <w:rFonts w:ascii="Arial" w:cs="Arial" w:eastAsia="Arial" w:hAnsi="Arial"/>
          <w:sz w:val="22"/>
          <w:szCs w:val="22"/>
        </w:rPr>
        <w:ptab w:alignment="right" w:relativeTo="margin" w:leader="dot"/>
        <w:t xml:space="preserve">20</w:t>
      </w:r>
    </w:p>
    <w:p>
      <w:pPr>
        <w:spacing w:after="60" w:before="60"/>
        <w:ind w:left="360"/>
      </w:pPr>
      <w:r>
        <w:rPr>
          <w:rFonts w:ascii="Arial" w:cs="Arial" w:eastAsia="Arial" w:hAnsi="Arial"/>
          <w:sz w:val="22"/>
          <w:szCs w:val="22"/>
        </w:rPr>
        <w:t xml:space="preserve">7.5 Responsabilidad y Rendición de Cuentas</w:t>
      </w:r>
      <w:r>
        <w:rPr>
          <w:rFonts w:ascii="Arial" w:cs="Arial" w:eastAsia="Arial" w:hAnsi="Arial"/>
          <w:sz w:val="22"/>
          <w:szCs w:val="22"/>
        </w:rPr>
        <w:ptab w:alignment="right" w:relativeTo="margin" w:leader="dot"/>
        <w:t xml:space="preserve">20</w:t>
      </w:r>
    </w:p>
    <w:p>
      <w:pPr>
        <w:spacing w:after="60" w:before="60"/>
        <w:ind w:left="0"/>
      </w:pPr>
      <w:r>
        <w:rPr>
          <w:rFonts w:ascii="Arial" w:cs="Arial" w:eastAsia="Arial" w:hAnsi="Arial"/>
          <w:sz w:val="22"/>
          <w:szCs w:val="22"/>
        </w:rPr>
        <w:t xml:space="preserve">8. Conclusiones</w:t>
      </w:r>
      <w:r>
        <w:rPr>
          <w:rFonts w:ascii="Arial" w:cs="Arial" w:eastAsia="Arial" w:hAnsi="Arial"/>
          <w:sz w:val="22"/>
          <w:szCs w:val="22"/>
        </w:rPr>
        <w:ptab w:alignment="right" w:relativeTo="margin" w:leader="dot"/>
        <w:t xml:space="preserve">21</w:t>
      </w:r>
    </w:p>
    <w:p>
      <w:pPr>
        <w:spacing w:after="60" w:before="60"/>
        <w:ind w:left="0"/>
      </w:pPr>
      <w:r>
        <w:rPr>
          <w:rFonts w:ascii="Arial" w:cs="Arial" w:eastAsia="Arial" w:hAnsi="Arial"/>
          <w:sz w:val="22"/>
          <w:szCs w:val="22"/>
        </w:rPr>
        <w:t xml:space="preserve">9. Referencias Bibliográficas</w:t>
      </w:r>
      <w:r>
        <w:rPr>
          <w:rFonts w:ascii="Arial" w:cs="Arial" w:eastAsia="Arial" w:hAnsi="Arial"/>
          <w:sz w:val="22"/>
          <w:szCs w:val="22"/>
        </w:rPr>
        <w:ptab w:alignment="right" w:relativeTo="margin" w:leader="dot"/>
        <w:t xml:space="preserve">22</w:t>
      </w:r>
    </w:p>
    <w:p>
      <w:pPr>
        <w:sectPr>
          <w:footerReference w:type="default" r:id="rId7"/>
          <w:pgSz w:w="12240" w:h="15840" w:orient="portrait"/>
          <w:pgMar w:top="1440" w:right="1440" w:bottom="1440" w:left="1800" w:header="708" w:footer="708" w:gutter="0"/>
          <w:pgNumType/>
          <w:docGrid w:linePitch="360"/>
        </w:sectPr>
      </w:pPr>
    </w:p>
    <w:p>
      <w:pPr>
        <w:pStyle w:val="Heading1"/>
        <w:pBdr>
          <w:bottom w:val="single" w:color="2E75B6" w:sz="6" w:space="4"/>
        </w:pBdr>
        <w:spacing w:after="180" w:before="360"/>
      </w:pPr>
      <w:r>
        <w:rPr>
          <w:rFonts w:ascii="Arial" w:cs="Arial" w:eastAsia="Arial" w:hAnsi="Arial"/>
          <w:b/>
          <w:bCs/>
          <w:color w:val="1F4E79"/>
          <w:sz w:val="32"/>
          <w:szCs w:val="32"/>
        </w:rPr>
        <w:t xml:space="preserve">1. Introducción</w:t>
      </w:r>
    </w:p>
    <w:p>
      <w:pPr>
        <w:spacing w:after="120" w:before="100"/>
      </w:pPr>
      <w:r>
        <w:rPr>
          <w:rFonts w:ascii="Arial" w:cs="Arial" w:eastAsia="Arial" w:hAnsi="Arial"/>
          <w:sz w:val="22"/>
          <w:szCs w:val="22"/>
        </w:rPr>
        <w:t xml:space="preserve">La educación constituye uno de los pilares fundamentales del desarrollo humano y social en la República Dominicana. Sin embargo, uno de los desafíos más persistentes en el sistema educativo nacional es el fenómeno de la reprobación escolar, entendida como el fracaso académico de un estudiante en una o más asignaturas dentro de un período lectivo determinado. Este problema no solo tiene consecuencias en el rendimiento académico inmediato, sino que frecuentemente antecede a situaciones más graves como la deserción escolar, la desmotivación prolongada y la exclusión del sistema educativo formal.</w:t>
      </w:r>
    </w:p>
    <w:p>
      <w:pPr>
        <w:spacing w:after="120" w:before="100"/>
      </w:pPr>
      <w:r>
        <w:rPr>
          <w:rFonts w:ascii="Arial" w:cs="Arial" w:eastAsia="Arial" w:hAnsi="Arial"/>
          <w:sz w:val="22"/>
          <w:szCs w:val="22"/>
        </w:rPr>
        <w:t xml:space="preserve">El Ministerio de Educación de la República Dominicana (MINERD) ha identificado la reprobación como uno de los principales retos del sistema educativo nacional, con tasas que en algunos niveles —especialmente en el nivel secundario— superan el 20% de la matrícula. Esta situación impacta de manera directa la eficiencia interna del sistema, el gasto educativo del Estado y las trayectorias de vida de miles de estudiantes dominicanos cada año.</w:t>
      </w:r>
    </w:p>
    <w:p>
      <w:pPr>
        <w:spacing w:after="120" w:before="100"/>
      </w:pPr>
      <w:r>
        <w:rPr>
          <w:rFonts w:ascii="Arial" w:cs="Arial" w:eastAsia="Arial" w:hAnsi="Arial"/>
          <w:sz w:val="22"/>
          <w:szCs w:val="22"/>
        </w:rPr>
        <w:t xml:space="preserve">Históricamente, la detección del riesgo de reprobación ha dependido de la observación directa del docente, un proceso subjetivo, reactivo y muchas veces tardío. Cuando un educador identifica que un estudiante está en riesgo, generalmente ya ha acumulado un historial de ausencias, evaluaciones reprobadas o entregas incompletas que dificultan una intervención efectiva. Esta brecha entre la aparición del riesgo y su identificación constituye el núcleo del problema que este proyecto pretende abordar.</w:t>
      </w:r>
    </w:p>
    <w:p>
      <w:pPr>
        <w:spacing w:after="120" w:before="100"/>
      </w:pPr>
      <w:r>
        <w:rPr>
          <w:rFonts w:ascii="Arial" w:cs="Arial" w:eastAsia="Arial" w:hAnsi="Arial"/>
          <w:sz w:val="22"/>
          <w:szCs w:val="22"/>
        </w:rPr>
        <w:t xml:space="preserve">La irrupción de la inteligencia artificial (IA) y el aprendizaje automático (machine learning) en el ámbito educativo ha abierto posibilidades antes impensables para transformar este panorama. Mediante el análisis sistemático de datos académicos —asistencia, calificaciones, participación, entrega de tareas, desempeño en evaluaciones— es posible construir modelos predictivos capaces de identificar con anticipación a los estudiantes que presentan mayor probabilidad de reprobar.</w:t>
      </w:r>
    </w:p>
    <w:p>
      <w:pPr>
        <w:spacing w:after="120" w:before="100"/>
      </w:pPr>
      <w:r>
        <w:rPr>
          <w:rFonts w:ascii="Arial" w:cs="Arial" w:eastAsia="Arial" w:hAnsi="Arial"/>
          <w:sz w:val="22"/>
          <w:szCs w:val="22"/>
        </w:rPr>
        <w:t xml:space="preserve">El presente informe documenta el desarrollo completo de un proyecto de investigación aplicada enmarcado en la Maestría en Inteligencia Artificial orientada a Educación de la Universidad Federico Henríquez &amp; Carvajal (UFHEC), adaptado al contexto del sistema educativo dominicano. El proyecto diseña, entrena y evalúa modelos de aprendizaje automático orientados a la predicción del riesgo de reprobación escolar, con el fin de apoyar las políticas educativas y las prácticas pedagógicas en las instituciones educativas de la República Dominicana.</w:t>
      </w:r>
    </w:p>
    <w:p>
      <w:pPr>
        <w:spacing w:after="120" w:before="100"/>
      </w:pPr>
      <w:r>
        <w:rPr>
          <w:rFonts w:ascii="Arial" w:cs="Arial" w:eastAsia="Arial" w:hAnsi="Arial"/>
          <w:sz w:val="22"/>
          <w:szCs w:val="22"/>
        </w:rPr>
        <w:t xml:space="preserve">Este proyecto no pretende reemplazar el juicio del docente ni automatizar decisiones pedagógicas; su propósito es complementar la labor educativa con información oportuna, objetiva y basada en evidencia, de modo que los educadores puedan focalizar sus esfuerzos de apoyo en los estudiantes que más lo necesitan.</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Formulación del Problema</w:t>
      </w:r>
    </w:p>
    <w:p>
      <w:pPr>
        <w:pStyle w:val="Heading2"/>
        <w:spacing w:after="120" w:before="240"/>
      </w:pPr>
      <w:r>
        <w:rPr>
          <w:rFonts w:ascii="Arial" w:cs="Arial" w:eastAsia="Arial" w:hAnsi="Arial"/>
          <w:b/>
          <w:bCs/>
          <w:i/>
          <w:iCs/>
          <w:color w:val="2E75B6"/>
          <w:sz w:val="26"/>
          <w:szCs w:val="26"/>
        </w:rPr>
        <w:t xml:space="preserve">2.1 Planteamiento del Problema</w:t>
      </w:r>
    </w:p>
    <w:p>
      <w:pPr>
        <w:spacing w:after="120" w:before="100"/>
      </w:pPr>
      <w:r>
        <w:rPr>
          <w:rFonts w:ascii="Arial" w:cs="Arial" w:eastAsia="Arial" w:hAnsi="Arial"/>
          <w:sz w:val="22"/>
          <w:szCs w:val="22"/>
        </w:rPr>
        <w:t xml:space="preserve">En las instituciones educativas dominicanas de nivel básico, secundario y superior, el riesgo de reprobación escolar es identificado de manera tardía, una vez que el estudiante ya ha acumulado calificaciones deficientes, ausencias reiteradas o un historial de entregas incompletas que hacen difícil su recuperación durante el período lectivo en curso. Esta situación genera un ciclo de consecuencias negativas: el estudiante experimenta desmotivación, pierde confianza en sus capacidades académicas y, en muchos casos, termina abandonando el sistema educativo.</w:t>
      </w:r>
    </w:p>
    <w:p>
      <w:pPr>
        <w:spacing w:after="120" w:before="100"/>
      </w:pPr>
      <w:r>
        <w:rPr>
          <w:rFonts w:ascii="Arial" w:cs="Arial" w:eastAsia="Arial" w:hAnsi="Arial"/>
          <w:sz w:val="22"/>
          <w:szCs w:val="22"/>
        </w:rPr>
        <w:t xml:space="preserve">En la República Dominicana, el sistema educativo se rige por el calendario académico establecido por el MINERD, con evaluaciones distribuidas en trimestres (nivel básico y secundario) o cuatrimestres/semestres (educación superior). Este esquema ofrece múltiples puntos de detección temprana que, si se apoyan en herramientas tecnológicas adecuadas, pueden activar intervenciones pedagógicas a tiempo.</w:t>
      </w:r>
    </w:p>
    <w:p>
      <w:pPr>
        <w:spacing w:after="120" w:before="100"/>
      </w:pPr>
      <w:r>
        <w:rPr>
          <w:rFonts w:ascii="Arial" w:cs="Arial" w:eastAsia="Arial" w:hAnsi="Arial"/>
          <w:sz w:val="22"/>
          <w:szCs w:val="22"/>
        </w:rPr>
        <w:t xml:space="preserve">La pregunta central de este proyecto es: ¿Es posible desarrollar un modelo de inteligencia artificial capaz de predecir, con suficiente anticipación y precisión, el riesgo de reprobación de un estudiante a partir de indicadores académicos disponibles en los registros institucionales dominicanos, de modo que se puedan activar mecanismos de intervención pedagógica temprana?</w:t>
      </w:r>
    </w:p>
    <w:p>
      <w:pPr>
        <w:spacing w:after="120" w:before="100"/>
      </w:pPr>
      <w:r>
        <w:rPr>
          <w:rFonts w:ascii="Arial" w:cs="Arial" w:eastAsia="Arial" w:hAnsi="Arial"/>
          <w:sz w:val="22"/>
          <w:szCs w:val="22"/>
        </w:rPr>
        <w:t xml:space="preserve">Las variables que ofrecen señales tempranas de riesgo académico en el contexto dominicano incluyen: la asistencia a clases, la participación activa, el porcentaje de tareas entregadas, el desempeño en evaluaciones parciales y el historial académico previo del estudiante.</w:t>
      </w:r>
    </w:p>
    <w:p>
      <w:pPr>
        <w:pStyle w:val="Heading2"/>
        <w:spacing w:after="120" w:before="240"/>
      </w:pPr>
      <w:r>
        <w:rPr>
          <w:rFonts w:ascii="Arial" w:cs="Arial" w:eastAsia="Arial" w:hAnsi="Arial"/>
          <w:b/>
          <w:bCs/>
          <w:i/>
          <w:iCs/>
          <w:color w:val="2E75B6"/>
          <w:sz w:val="26"/>
          <w:szCs w:val="26"/>
        </w:rPr>
        <w:t xml:space="preserve">2.2 Objetivos del Proyecto</w:t>
      </w:r>
    </w:p>
    <w:p>
      <w:pPr>
        <w:spacing w:after="120" w:before="100"/>
      </w:pPr>
      <w:r>
        <w:rPr>
          <w:rFonts w:ascii="Arial" w:cs="Arial" w:eastAsia="Arial" w:hAnsi="Arial"/>
          <w:b/>
          <w:bCs/>
          <w:sz w:val="22"/>
          <w:szCs w:val="22"/>
        </w:rPr>
        <w:t xml:space="preserve">Objetivo general: </w:t>
      </w:r>
      <w:r>
        <w:rPr>
          <w:rFonts w:ascii="Arial" w:cs="Arial" w:eastAsia="Arial" w:hAnsi="Arial"/>
          <w:sz w:val="22"/>
          <w:szCs w:val="22"/>
        </w:rPr>
        <w:t xml:space="preserve">Diseñar una propuesta de análisis predictivo que permita identificar estudiantes con riesgo de reprobación escolar en instituciones educativas dominicanas, utilizando indicadores académicos y de comportamiento, con el fin de apoyar la toma de decisiones pedagógicas y mejorar el rendimiento estudiantil.</w:t>
      </w:r>
    </w:p>
    <w:p>
      <w:pPr>
        <w:spacing w:after="120" w:before="100"/>
      </w:pPr>
      <w:r>
        <w:rPr>
          <w:rFonts w:ascii="Arial" w:cs="Arial" w:eastAsia="Arial" w:hAnsi="Arial"/>
          <w:sz w:val="22"/>
          <w:szCs w:val="22"/>
        </w:rPr>
        <w:t xml:space="preserve">Objetivos específicos:</w:t>
      </w:r>
    </w:p>
    <w:p>
      <w:pPr>
        <w:pStyle w:val="ListParagraph"/>
        <w:numPr>
          <w:ilvl w:val="0"/>
          <w:numId w:val="2"/>
        </w:numPr>
        <w:spacing w:after="60" w:before="60"/>
      </w:pPr>
      <w:r>
        <w:rPr>
          <w:rFonts w:ascii="Arial" w:cs="Arial" w:eastAsia="Arial" w:hAnsi="Arial"/>
          <w:sz w:val="22"/>
          <w:szCs w:val="22"/>
        </w:rPr>
        <w:t xml:space="preserve">Analizar los factores académicos y sociales asociados al bajo rendimiento escolar en el contexto educativo dominicano, mediante técnicas de exploración y visualización de datos.</w:t>
      </w:r>
    </w:p>
    <w:p>
      <w:pPr>
        <w:pStyle w:val="ListParagraph"/>
        <w:numPr>
          <w:ilvl w:val="0"/>
          <w:numId w:val="2"/>
        </w:numPr>
        <w:spacing w:after="60" w:before="60"/>
      </w:pPr>
      <w:r>
        <w:rPr>
          <w:rFonts w:ascii="Arial" w:cs="Arial" w:eastAsia="Arial" w:hAnsi="Arial"/>
          <w:sz w:val="22"/>
          <w:szCs w:val="22"/>
        </w:rPr>
        <w:t xml:space="preserve">Identificar patrones en los datos académicos que permitan anticipar posibles casos de reprobación escolar.</w:t>
      </w:r>
    </w:p>
    <w:p>
      <w:pPr>
        <w:pStyle w:val="ListParagraph"/>
        <w:numPr>
          <w:ilvl w:val="0"/>
          <w:numId w:val="2"/>
        </w:numPr>
        <w:spacing w:after="60" w:before="60"/>
      </w:pPr>
      <w:r>
        <w:rPr>
          <w:rFonts w:ascii="Arial" w:cs="Arial" w:eastAsia="Arial" w:hAnsi="Arial"/>
          <w:sz w:val="22"/>
          <w:szCs w:val="22"/>
        </w:rPr>
        <w:t xml:space="preserve">Construir y comparar dos modelos de aprendizaje automático —Árbol de Decisión y Regresión Logística— para la predicción del riesgo de reprobación.</w:t>
      </w:r>
    </w:p>
    <w:p>
      <w:pPr>
        <w:pStyle w:val="ListParagraph"/>
        <w:numPr>
          <w:ilvl w:val="0"/>
          <w:numId w:val="2"/>
        </w:numPr>
        <w:spacing w:after="60" w:before="60"/>
      </w:pPr>
      <w:r>
        <w:rPr>
          <w:rFonts w:ascii="Arial" w:cs="Arial" w:eastAsia="Arial" w:hAnsi="Arial"/>
          <w:sz w:val="22"/>
          <w:szCs w:val="22"/>
        </w:rPr>
        <w:t xml:space="preserve">Evaluar el desempeño de los modelos mediante métricas apropiadas e identificar cuál ofrece mejores resultados en este contexto educativo.</w:t>
      </w:r>
    </w:p>
    <w:p>
      <w:pPr>
        <w:pStyle w:val="ListParagraph"/>
        <w:numPr>
          <w:ilvl w:val="0"/>
          <w:numId w:val="2"/>
        </w:numPr>
        <w:spacing w:after="60" w:before="60"/>
      </w:pPr>
      <w:r>
        <w:rPr>
          <w:rFonts w:ascii="Arial" w:cs="Arial" w:eastAsia="Arial" w:hAnsi="Arial"/>
          <w:sz w:val="22"/>
          <w:szCs w:val="22"/>
        </w:rPr>
        <w:t xml:space="preserve">Proponer estrategias de intervención pedagógica temprana basadas en los resultados del modelo predictivo, alineadas con las políticas del MINERD.</w:t>
      </w:r>
    </w:p>
    <w:p>
      <w:pPr>
        <w:pStyle w:val="ListParagraph"/>
        <w:numPr>
          <w:ilvl w:val="0"/>
          <w:numId w:val="2"/>
        </w:numPr>
        <w:spacing w:after="60" w:before="60"/>
      </w:pPr>
      <w:r>
        <w:rPr>
          <w:rFonts w:ascii="Arial" w:cs="Arial" w:eastAsia="Arial" w:hAnsi="Arial"/>
          <w:sz w:val="22"/>
          <w:szCs w:val="22"/>
        </w:rPr>
        <w:t xml:space="preserve">Reflexionar sobre las implicaciones éticas del uso de herramientas de IA en contextos educativos dominicanos.</w:t>
      </w:r>
    </w:p>
    <w:p>
      <w:pPr>
        <w:pStyle w:val="Heading2"/>
        <w:spacing w:after="120" w:before="240"/>
      </w:pPr>
      <w:r>
        <w:rPr>
          <w:rFonts w:ascii="Arial" w:cs="Arial" w:eastAsia="Arial" w:hAnsi="Arial"/>
          <w:b/>
          <w:bCs/>
          <w:i/>
          <w:iCs/>
          <w:color w:val="2E75B6"/>
          <w:sz w:val="26"/>
          <w:szCs w:val="26"/>
        </w:rPr>
        <w:t xml:space="preserve">2.3 Justificación</w:t>
      </w:r>
    </w:p>
    <w:p>
      <w:pPr>
        <w:spacing w:after="120" w:before="100"/>
      </w:pPr>
      <w:r>
        <w:rPr>
          <w:rFonts w:ascii="Arial" w:cs="Arial" w:eastAsia="Arial" w:hAnsi="Arial"/>
          <w:sz w:val="22"/>
          <w:szCs w:val="22"/>
        </w:rPr>
        <w:t xml:space="preserve">La reprobación escolar constituye una problemática con alta prevalencia en el sistema educativo dominicano. Según datos del Instituto de Estadística de la UNESCO, las tasas de repetición escolar en América Latina y el Caribe se mantienen entre las más altas del mundo. En la República Dominicana, el MINERD ha identificado consistentemente el rendimiento académico como uno de los principales retos del sistema, con tasas de reprobación que en algunos niveles superan el 20% de la matrícula.</w:t>
      </w:r>
    </w:p>
    <w:p>
      <w:pPr>
        <w:spacing w:after="120" w:before="100"/>
      </w:pPr>
      <w:r>
        <w:rPr>
          <w:rFonts w:ascii="Arial" w:cs="Arial" w:eastAsia="Arial" w:hAnsi="Arial"/>
          <w:sz w:val="22"/>
          <w:szCs w:val="22"/>
        </w:rPr>
        <w:t xml:space="preserve">El Plan Decenal de Educación 2021-2030 de la República Dominicana establece entre sus líneas estratégicas la incorporación de tecnologías digitales para mejorar la calidad educativa y reducir las brechas de rendimiento. En este marco, el uso de analítica del aprendizaje (learning analytics) representa una oportunidad concreta y alineada con la política educativa nacional.</w:t>
      </w:r>
    </w:p>
    <w:p>
      <w:pPr>
        <w:spacing w:after="120" w:before="100"/>
      </w:pPr>
      <w:r>
        <w:rPr>
          <w:rFonts w:ascii="Arial" w:cs="Arial" w:eastAsia="Arial" w:hAnsi="Arial"/>
          <w:sz w:val="22"/>
          <w:szCs w:val="22"/>
        </w:rPr>
        <w:t xml:space="preserve">Además, el contexto de formación de este proyecto —la Maestría en Inteligencia Artificial orientada a Educación de la UFHEC— hace particularmente relevante desarrollar una aplicación concreta de los fundamentos del aprendizaje automático en un problema educativo real del contexto dominicano. Este proyecto sirve como modelo replicable para instituciones educativas del país que deseen implementar sistemas de alerta temprana basados en datos.</w:t>
      </w:r>
    </w:p>
    <w:p>
      <w:pPr>
        <w:pStyle w:val="Heading2"/>
        <w:spacing w:after="120" w:before="240"/>
      </w:pPr>
      <w:r>
        <w:rPr>
          <w:rFonts w:ascii="Arial" w:cs="Arial" w:eastAsia="Arial" w:hAnsi="Arial"/>
          <w:b/>
          <w:bCs/>
          <w:i/>
          <w:iCs/>
          <w:color w:val="2E75B6"/>
          <w:sz w:val="26"/>
          <w:szCs w:val="26"/>
        </w:rPr>
        <w:t xml:space="preserve">2.4 Beneficiarios</w:t>
      </w:r>
    </w:p>
    <w:p>
      <w:pPr>
        <w:spacing w:after="120" w:before="100"/>
      </w:pPr>
      <w:r>
        <w:rPr>
          <w:rFonts w:ascii="Arial" w:cs="Arial" w:eastAsia="Arial" w:hAnsi="Arial"/>
          <w:sz w:val="22"/>
          <w:szCs w:val="22"/>
        </w:rPr>
        <w:t xml:space="preserve">El impacto potencial de este proyecto abarca múltiples actores del ecosistema educativo dominicano:</w:t>
      </w:r>
    </w:p>
    <w:p>
      <w:pPr>
        <w:spacing w:after="120" w:before="100"/>
      </w:pPr>
      <w:r>
        <w:rPr>
          <w:rFonts w:ascii="Arial" w:cs="Arial" w:eastAsia="Arial" w:hAnsi="Arial"/>
          <w:b/>
          <w:bCs/>
          <w:sz w:val="22"/>
          <w:szCs w:val="22"/>
        </w:rPr>
        <w:t xml:space="preserve">Estudiantes en riesgo: </w:t>
      </w:r>
      <w:r>
        <w:rPr>
          <w:rFonts w:ascii="Arial" w:cs="Arial" w:eastAsia="Arial" w:hAnsi="Arial"/>
          <w:sz w:val="22"/>
          <w:szCs w:val="22"/>
        </w:rPr>
        <w:t xml:space="preserve">Son los beneficiarios directos y más importantes. La identificación temprana de su situación de riesgo les permite acceder a apoyos pedagógicos, tutorías o planes de nivelación antes de que su situación se torne irreversible dentro del período lectivo.</w:t>
      </w:r>
    </w:p>
    <w:p>
      <w:pPr>
        <w:spacing w:after="120" w:before="100"/>
      </w:pPr>
      <w:r>
        <w:rPr>
          <w:rFonts w:ascii="Arial" w:cs="Arial" w:eastAsia="Arial" w:hAnsi="Arial"/>
          <w:b/>
          <w:bCs/>
          <w:sz w:val="22"/>
          <w:szCs w:val="22"/>
        </w:rPr>
        <w:t xml:space="preserve">Docentes y tutores: </w:t>
      </w:r>
      <w:r>
        <w:rPr>
          <w:rFonts w:ascii="Arial" w:cs="Arial" w:eastAsia="Arial" w:hAnsi="Arial"/>
          <w:sz w:val="22"/>
          <w:szCs w:val="22"/>
        </w:rPr>
        <w:t xml:space="preserve">Contarán con una herramienta que les permite priorizar y personalizar sus intervenciones, reduciendo la carga cognitiva de tener que identificar manualmente a todos los estudiantes en dificultades en grupos numerosos.</w:t>
      </w:r>
    </w:p>
    <w:p>
      <w:pPr>
        <w:spacing w:after="120" w:before="100"/>
      </w:pPr>
      <w:r>
        <w:rPr>
          <w:rFonts w:ascii="Arial" w:cs="Arial" w:eastAsia="Arial" w:hAnsi="Arial"/>
          <w:b/>
          <w:bCs/>
          <w:sz w:val="22"/>
          <w:szCs w:val="22"/>
        </w:rPr>
        <w:t xml:space="preserve">Coordinadores y directivos académicos: </w:t>
      </w:r>
      <w:r>
        <w:rPr>
          <w:rFonts w:ascii="Arial" w:cs="Arial" w:eastAsia="Arial" w:hAnsi="Arial"/>
          <w:sz w:val="22"/>
          <w:szCs w:val="22"/>
        </w:rPr>
        <w:t xml:space="preserve">Podrán tomar decisiones basadas en datos sobre la asignación de recursos de apoyo, la revisión de metodologías pedagógicas y el diseño de políticas institucionales orientadas a la retención estudiantil.</w:t>
      </w:r>
    </w:p>
    <w:p>
      <w:pPr>
        <w:spacing w:after="120" w:before="100"/>
      </w:pPr>
      <w:r>
        <w:rPr>
          <w:rFonts w:ascii="Arial" w:cs="Arial" w:eastAsia="Arial" w:hAnsi="Arial"/>
          <w:b/>
          <w:bCs/>
          <w:sz w:val="22"/>
          <w:szCs w:val="22"/>
        </w:rPr>
        <w:t xml:space="preserve">Instituciones educativas dominicanas: </w:t>
      </w:r>
      <w:r>
        <w:rPr>
          <w:rFonts w:ascii="Arial" w:cs="Arial" w:eastAsia="Arial" w:hAnsi="Arial"/>
          <w:sz w:val="22"/>
          <w:szCs w:val="22"/>
        </w:rPr>
        <w:t xml:space="preserve">Se beneficiarán de mejoras en sus indicadores de eficiencia interna (tasas de promoción, reducción de reprobación y deserción), alineándose con los estándares de calidad establecidos por el MINERD y la MESCYT.</w:t>
      </w:r>
    </w:p>
    <w:p>
      <w:pPr>
        <w:spacing w:after="120" w:before="100"/>
      </w:pPr>
      <w:r>
        <w:rPr>
          <w:rFonts w:ascii="Arial" w:cs="Arial" w:eastAsia="Arial" w:hAnsi="Arial"/>
          <w:b/>
          <w:bCs/>
          <w:sz w:val="22"/>
          <w:szCs w:val="22"/>
        </w:rPr>
        <w:t xml:space="preserve">Investigadores y tomadores de decisiones de política educativa: </w:t>
      </w:r>
      <w:r>
        <w:rPr>
          <w:rFonts w:ascii="Arial" w:cs="Arial" w:eastAsia="Arial" w:hAnsi="Arial"/>
          <w:sz w:val="22"/>
          <w:szCs w:val="22"/>
        </w:rPr>
        <w:t xml:space="preserve">Este proyecto puede servir como caso de estudio y punto de partida para investigaciones más amplias sobre el uso de analítica del aprendizaje en el sistema educativo dominicano.</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Descripción del Dataset</w:t>
      </w:r>
    </w:p>
    <w:p>
      <w:pPr>
        <w:pStyle w:val="Heading2"/>
        <w:spacing w:after="120" w:before="240"/>
      </w:pPr>
      <w:r>
        <w:rPr>
          <w:rFonts w:ascii="Arial" w:cs="Arial" w:eastAsia="Arial" w:hAnsi="Arial"/>
          <w:b/>
          <w:bCs/>
          <w:i/>
          <w:iCs/>
          <w:color w:val="2E75B6"/>
          <w:sz w:val="26"/>
          <w:szCs w:val="26"/>
        </w:rPr>
        <w:t xml:space="preserve">3.1 Fuente y Características Generales</w:t>
      </w:r>
    </w:p>
    <w:p>
      <w:pPr>
        <w:spacing w:after="120" w:before="100"/>
      </w:pPr>
      <w:r>
        <w:rPr>
          <w:rFonts w:ascii="Arial" w:cs="Arial" w:eastAsia="Arial" w:hAnsi="Arial"/>
          <w:sz w:val="22"/>
          <w:szCs w:val="22"/>
        </w:rPr>
        <w:t xml:space="preserve">Para el desarrollo de este proyecto se utilizó el dataset Student Performance Dataset, disponible públicamente en el repositorio UCI Machine Learning Repository. Este conjunto de datos fue recopilado en dos escuelas de educación secundaria de Portugal y contiene información sobre el desempeño de 649 estudiantes en las asignaturas de Matemáticas y Lengua Portuguesa. Ha sido ampliamente utilizado en investigaciones sobre predicción del rendimiento académico y constituye un referente estándar en el campo de la analítica educativa.</w:t>
      </w:r>
    </w:p>
    <w:p>
      <w:pPr>
        <w:spacing w:after="120" w:before="100"/>
      </w:pPr>
      <w:r>
        <w:rPr>
          <w:rFonts w:ascii="Arial" w:cs="Arial" w:eastAsia="Arial" w:hAnsi="Arial"/>
          <w:sz w:val="22"/>
          <w:szCs w:val="22"/>
        </w:rPr>
        <w:t xml:space="preserve">Aunque el dataset es de origen portugués, su estructura de variables es compatible con los registros académicos utilizados en el sistema educativo dominicano: calificaciones por período, asistencia, historial de reprobaciones y factores socioeconómicos del hogar. Para una implementación real en instituciones dominicanas, se recomienda recolectar datos locales que incorporen las particularidades del sistema de calificación dominicano (escala 0-100, aprobación con 65 puntos en el nivel básico y secundario) y el calendario académico nacional.</w:t>
      </w:r>
    </w:p>
    <w:p>
      <w:pPr>
        <w:spacing w:after="120" w:before="100"/>
      </w:pPr>
      <w:r>
        <w:rPr>
          <w:rFonts w:ascii="Arial" w:cs="Arial" w:eastAsia="Arial" w:hAnsi="Arial"/>
          <w:sz w:val="22"/>
          <w:szCs w:val="22"/>
        </w:rPr>
        <w:t xml:space="preserve">El dataset cuenta con un total de 33 variables por estudiante, que abarcan dimensiones académicas, sociales, familiares y personales. Para los efectos de este proyecto, se trabajó con la asignatura de Matemáticas (n = 395 estudiantes) y se definió como variable objetivo la calificación final (G3), binarizada en dos categorías: estudiantes en riesgo de reprobación y estudiantes sin riesgo de reprobación.</w:t>
      </w:r>
    </w:p>
    <w:p>
      <w:pPr>
        <w:pStyle w:val="Heading2"/>
        <w:spacing w:after="120" w:before="240"/>
      </w:pPr>
      <w:r>
        <w:rPr>
          <w:rFonts w:ascii="Arial" w:cs="Arial" w:eastAsia="Arial" w:hAnsi="Arial"/>
          <w:b/>
          <w:bCs/>
          <w:i/>
          <w:iCs/>
          <w:color w:val="2E75B6"/>
          <w:sz w:val="26"/>
          <w:szCs w:val="26"/>
        </w:rPr>
        <w:t xml:space="preserve">3.2 Variables del Dataset</w:t>
      </w:r>
    </w:p>
    <w:p>
      <w:pPr>
        <w:spacing w:after="120" w:before="100"/>
      </w:pPr>
      <w:r>
        <w:rPr>
          <w:rFonts w:ascii="Arial" w:cs="Arial" w:eastAsia="Arial" w:hAnsi="Arial"/>
          <w:sz w:val="22"/>
          <w:szCs w:val="22"/>
        </w:rPr>
        <w:t xml:space="preserve">Las 33 variables del dataset pueden clasificarse en cinco categorías principales: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Categoría</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Variables</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Académicas</w:t>
            </w:r>
          </w:p>
        </w:tc>
        <w:tc>
          <w:tcPr>
            <w:tcW w:type="dxa" w:w="30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G1, G2, G3, failures, studytime</w:t>
            </w:r>
          </w:p>
        </w:tc>
        <w:tc>
          <w:tcPr>
            <w:tcW w:type="dxa" w:w="436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Calificaciones parciales y final, reprobaciones previas, horas de estudio semanales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Asistencia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absences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Número de ausencias escolares durante el año lectivo</w:t>
            </w:r>
          </w:p>
        </w:tc>
      </w:tr>
      <w:tr>
        <w:tc>
          <w:tcPr>
            <w:tcW w:type="dxa" w:w="20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Familiares</w:t>
            </w:r>
          </w:p>
        </w:tc>
        <w:tc>
          <w:tcPr>
            <w:tcW w:type="dxa" w:w="30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Medu, Fedu, Mjob, Fjob, famsize, Pstatus</w:t>
            </w:r>
          </w:p>
        </w:tc>
        <w:tc>
          <w:tcPr>
            <w:tcW w:type="dxa" w:w="436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Nivel educativo y ocupación de los padres, tamaño familiar, estado civil de los padres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Personales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sex, age, address, health, freetime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Sexo, edad, zona de residencia (urbana/rural), estado de salud, tiempo libre</w:t>
            </w:r>
          </w:p>
        </w:tc>
      </w:tr>
      <w:tr>
        <w:tc>
          <w:tcPr>
            <w:tcW w:type="dxa" w:w="20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Apoyo educativo</w:t>
            </w:r>
          </w:p>
        </w:tc>
        <w:tc>
          <w:tcPr>
            <w:tcW w:type="dxa" w:w="30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schoolsup, famsup, paid, activities, internet</w:t>
            </w:r>
          </w:p>
        </w:tc>
        <w:tc>
          <w:tcPr>
            <w:tcW w:type="dxa" w:w="436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Apoyo escolar extra, apoyo familiar, clases pagas, actividades extracurriculares, acceso a internet</w:t>
            </w:r>
          </w:p>
        </w:tc>
      </w:tr>
    </w:tbl>
    <w:p>
      <w:pPr>
        <w:spacing w:after="120" w:before="120"/>
      </w:pPr>
    </w:p>
    <w:p>
      <w:pPr>
        <w:spacing w:after="120" w:before="100"/>
      </w:pPr>
      <w:r>
        <w:rPr>
          <w:rFonts w:ascii="Arial" w:cs="Arial" w:eastAsia="Arial" w:hAnsi="Arial"/>
          <w:b/>
          <w:bCs/>
          <w:i/>
          <w:iCs/>
          <w:sz w:val="20"/>
          <w:szCs w:val="20"/>
        </w:rPr>
        <w:t xml:space="preserve">Nota: </w:t>
      </w:r>
      <w:r>
        <w:rPr>
          <w:rFonts w:ascii="Arial" w:cs="Arial" w:eastAsia="Arial" w:hAnsi="Arial"/>
          <w:i/>
          <w:iCs/>
          <w:sz w:val="20"/>
          <w:szCs w:val="20"/>
        </w:rPr>
        <w:t xml:space="preserve">Para el modelo predictivo se seleccionaron las variables con mayor relevancia académica y disponibilidad práctica: G1 (calificación primer período), G2 (calificación segundo período), absences (ausencias), failures (reprobaciones previas), studytime (horas de estudio) y freetime (tiempo libre). Estas variables son equivalentes a las disponibles en los registros académicos de los centros educativos dominicanos.</w:t>
      </w:r>
    </w:p>
    <w:p>
      <w:pPr>
        <w:pStyle w:val="Heading2"/>
        <w:spacing w:after="120" w:before="240"/>
      </w:pPr>
      <w:r>
        <w:rPr>
          <w:rFonts w:ascii="Arial" w:cs="Arial" w:eastAsia="Arial" w:hAnsi="Arial"/>
          <w:b/>
          <w:bCs/>
          <w:i/>
          <w:iCs/>
          <w:color w:val="2E75B6"/>
          <w:sz w:val="26"/>
          <w:szCs w:val="26"/>
        </w:rPr>
        <w:t xml:space="preserve">3.3 Posibles Sesgos en los Datos</w:t>
      </w:r>
    </w:p>
    <w:p>
      <w:pPr>
        <w:spacing w:after="120" w:before="100"/>
      </w:pPr>
      <w:r>
        <w:rPr>
          <w:rFonts w:ascii="Arial" w:cs="Arial" w:eastAsia="Arial" w:hAnsi="Arial"/>
          <w:b/>
          <w:bCs/>
          <w:sz w:val="22"/>
          <w:szCs w:val="22"/>
        </w:rPr>
        <w:t xml:space="preserve">Sesgo de representación geográfica: </w:t>
      </w:r>
      <w:r>
        <w:rPr>
          <w:rFonts w:ascii="Arial" w:cs="Arial" w:eastAsia="Arial" w:hAnsi="Arial"/>
          <w:sz w:val="22"/>
          <w:szCs w:val="22"/>
        </w:rPr>
        <w:t xml:space="preserve">Los datos provienen exclusivamente de dos escuelas portuguesas, lo que limita su generalización directa al contexto educativo dominicano. Las dinámicas culturales, los sistemas de calificación (Portugal usa escala 0-20; Dominicana usa escala 0-100) y los factores socioeconómicos pueden diferir significativamente.</w:t>
      </w:r>
    </w:p>
    <w:p>
      <w:pPr>
        <w:spacing w:after="120" w:before="100"/>
      </w:pPr>
      <w:r>
        <w:rPr>
          <w:rFonts w:ascii="Arial" w:cs="Arial" w:eastAsia="Arial" w:hAnsi="Arial"/>
          <w:b/>
          <w:bCs/>
          <w:sz w:val="22"/>
          <w:szCs w:val="22"/>
        </w:rPr>
        <w:t xml:space="preserve">Sesgo de selección muestral: </w:t>
      </w:r>
      <w:r>
        <w:rPr>
          <w:rFonts w:ascii="Arial" w:cs="Arial" w:eastAsia="Arial" w:hAnsi="Arial"/>
          <w:sz w:val="22"/>
          <w:szCs w:val="22"/>
        </w:rPr>
        <w:t xml:space="preserve">El dataset solo incluye estudiantes que completaron el año escolar, excluyendo a quienes abandonaron el sistema. Esto puede subestimar los factores asociados a los casos más extremos de riesgo académico, especialmente relevante en el contexto dominicano donde la deserción es un problema significativo.</w:t>
      </w:r>
    </w:p>
    <w:p>
      <w:pPr>
        <w:spacing w:after="120" w:before="100"/>
      </w:pPr>
      <w:r>
        <w:rPr>
          <w:rFonts w:ascii="Arial" w:cs="Arial" w:eastAsia="Arial" w:hAnsi="Arial"/>
          <w:b/>
          <w:bCs/>
          <w:sz w:val="22"/>
          <w:szCs w:val="22"/>
        </w:rPr>
        <w:t xml:space="preserve">Sesgo de variables ausentes: </w:t>
      </w:r>
      <w:r>
        <w:rPr>
          <w:rFonts w:ascii="Arial" w:cs="Arial" w:eastAsia="Arial" w:hAnsi="Arial"/>
          <w:sz w:val="22"/>
          <w:szCs w:val="22"/>
        </w:rPr>
        <w:t xml:space="preserve">Factores como el estado emocional del estudiante, la calidad de la relación docente-estudiante, el acceso a recursos tecnológicos y la conectividad a internet (variables críticas en el contexto educativo dominicano) no están representados en el dataset.</w:t>
      </w:r>
    </w:p>
    <w:p>
      <w:pPr>
        <w:spacing w:after="120" w:before="100"/>
      </w:pPr>
      <w:r>
        <w:rPr>
          <w:rFonts w:ascii="Arial" w:cs="Arial" w:eastAsia="Arial" w:hAnsi="Arial"/>
          <w:b/>
          <w:bCs/>
          <w:sz w:val="22"/>
          <w:szCs w:val="22"/>
        </w:rPr>
        <w:t xml:space="preserve">Desbalance de clases: </w:t>
      </w:r>
      <w:r>
        <w:rPr>
          <w:rFonts w:ascii="Arial" w:cs="Arial" w:eastAsia="Arial" w:hAnsi="Arial"/>
          <w:sz w:val="22"/>
          <w:szCs w:val="22"/>
        </w:rPr>
        <w:t xml:space="preserve">Aproximadamente el 33% de los estudiantes en el dataset reprobaron, lo que genera un desbalance moderado entre las clases. Este aspecto se abordó mediante técnicas de balanceo durante el entrenamiento.</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Procesamiento y Análisis de Datos</w:t>
      </w:r>
    </w:p>
    <w:p>
      <w:pPr>
        <w:pStyle w:val="Heading2"/>
        <w:spacing w:after="120" w:before="240"/>
      </w:pPr>
      <w:r>
        <w:rPr>
          <w:rFonts w:ascii="Arial" w:cs="Arial" w:eastAsia="Arial" w:hAnsi="Arial"/>
          <w:b/>
          <w:bCs/>
          <w:i/>
          <w:iCs/>
          <w:color w:val="2E75B6"/>
          <w:sz w:val="26"/>
          <w:szCs w:val="26"/>
        </w:rPr>
        <w:t xml:space="preserve">4.1 Limpieza de Datos</w:t>
      </w:r>
    </w:p>
    <w:p>
      <w:pPr>
        <w:spacing w:after="120" w:before="100"/>
      </w:pPr>
      <w:r>
        <w:rPr>
          <w:rFonts w:ascii="Arial" w:cs="Arial" w:eastAsia="Arial" w:hAnsi="Arial"/>
          <w:sz w:val="22"/>
          <w:szCs w:val="22"/>
        </w:rPr>
        <w:t xml:space="preserve">El proceso de limpieza de datos constituye una etapa fundamental en cualquier proyecto de analítica educativa, ya que la calidad de los datos determina directamente la confiabilidad de los modelos construidos a partir de ellos. Para este proyecto, el proceso de limpieza comprendió las siguientes etapas:</w:t>
      </w:r>
    </w:p>
    <w:p>
      <w:pPr>
        <w:spacing w:after="120" w:before="100"/>
      </w:pPr>
      <w:r>
        <w:rPr>
          <w:rFonts w:ascii="Arial" w:cs="Arial" w:eastAsia="Arial" w:hAnsi="Arial"/>
          <w:b/>
          <w:bCs/>
          <w:sz w:val="22"/>
          <w:szCs w:val="22"/>
        </w:rPr>
        <w:t xml:space="preserve">Verificación de valores nulos: </w:t>
      </w:r>
      <w:r>
        <w:rPr>
          <w:rFonts w:ascii="Arial" w:cs="Arial" w:eastAsia="Arial" w:hAnsi="Arial"/>
          <w:sz w:val="22"/>
          <w:szCs w:val="22"/>
        </w:rPr>
        <w:t xml:space="preserve">Se realizó una inspección exhaustiva del dataset para identificar valores faltantes en cada variable. El dataset original no presentó valores nulos, lo que simplificó esta etapa. Se implementaron procedimientos de verificación mediante la función isnull() de pandas para confirmar la integridad de los datos.</w:t>
      </w:r>
    </w:p>
    <w:p>
      <w:pPr>
        <w:spacing w:after="120" w:before="100"/>
      </w:pPr>
      <w:r>
        <w:rPr>
          <w:rFonts w:ascii="Arial" w:cs="Arial" w:eastAsia="Arial" w:hAnsi="Arial"/>
          <w:b/>
          <w:bCs/>
          <w:sz w:val="22"/>
          <w:szCs w:val="22"/>
        </w:rPr>
        <w:t xml:space="preserve">Identificación y tratamiento de outliers: </w:t>
      </w:r>
      <w:r>
        <w:rPr>
          <w:rFonts w:ascii="Arial" w:cs="Arial" w:eastAsia="Arial" w:hAnsi="Arial"/>
          <w:sz w:val="22"/>
          <w:szCs w:val="22"/>
        </w:rPr>
        <w:t xml:space="preserve">Se utilizaron diagramas de caja (boxplots) para identificar valores atípicos en las variables numéricas, especialmente en absences y G1, G2. Se identificaron estudiantes con más de 60 ausencias durante el año, los cuales fueron retenidos en el análisis dado que representan casos reales extremos con alto riesgo de reprobación.</w:t>
      </w:r>
    </w:p>
    <w:p>
      <w:pPr>
        <w:spacing w:after="120" w:before="100"/>
      </w:pPr>
      <w:r>
        <w:rPr>
          <w:rFonts w:ascii="Arial" w:cs="Arial" w:eastAsia="Arial" w:hAnsi="Arial"/>
          <w:b/>
          <w:bCs/>
          <w:sz w:val="22"/>
          <w:szCs w:val="22"/>
        </w:rPr>
        <w:t xml:space="preserve">Codificación de variables categóricas: </w:t>
      </w:r>
      <w:r>
        <w:rPr>
          <w:rFonts w:ascii="Arial" w:cs="Arial" w:eastAsia="Arial" w:hAnsi="Arial"/>
          <w:sz w:val="22"/>
          <w:szCs w:val="22"/>
        </w:rPr>
        <w:t xml:space="preserve">Las variables categóricas fueron transformadas mediante codificación Label Encoding y One-Hot Encoding según correspondiera, para permitir su procesamiento por los algoritmos de aprendizaje automático.</w:t>
      </w:r>
    </w:p>
    <w:p>
      <w:pPr>
        <w:spacing w:after="120" w:before="100"/>
      </w:pPr>
      <w:r>
        <w:rPr>
          <w:rFonts w:ascii="Arial" w:cs="Arial" w:eastAsia="Arial" w:hAnsi="Arial"/>
          <w:b/>
          <w:bCs/>
          <w:sz w:val="22"/>
          <w:szCs w:val="22"/>
        </w:rPr>
        <w:t xml:space="preserve">Binarización de la variable objetivo: </w:t>
      </w:r>
      <w:r>
        <w:rPr>
          <w:rFonts w:ascii="Arial" w:cs="Arial" w:eastAsia="Arial" w:hAnsi="Arial"/>
          <w:sz w:val="22"/>
          <w:szCs w:val="22"/>
        </w:rPr>
        <w:t xml:space="preserve">La variable G3 fue transformada de su escala original (0-20) a una variable binaria: 1 (en riesgo: G3 &lt; 10) y 0 (sin riesgo: G3 ≥ 10). En el sistema educativo dominicano, esta transformación equivaldría a utilizar el umbral de 65 puntos sobre 100 como criterio de aprobación.</w:t>
      </w:r>
    </w:p>
    <w:p>
      <w:pPr>
        <w:spacing w:after="120" w:before="100"/>
      </w:pPr>
      <w:r>
        <w:rPr>
          <w:rFonts w:ascii="Arial" w:cs="Arial" w:eastAsia="Arial" w:hAnsi="Arial"/>
          <w:b/>
          <w:bCs/>
          <w:sz w:val="22"/>
          <w:szCs w:val="22"/>
        </w:rPr>
        <w:t xml:space="preserve">División del dataset: </w:t>
      </w:r>
      <w:r>
        <w:rPr>
          <w:rFonts w:ascii="Arial" w:cs="Arial" w:eastAsia="Arial" w:hAnsi="Arial"/>
          <w:sz w:val="22"/>
          <w:szCs w:val="22"/>
        </w:rPr>
        <w:t xml:space="preserve">Los datos fueron divididos en conjunto de entrenamiento (80%, n=316 estudiantes) y conjunto de prueba (20%, n=79 estudiantes), utilizando una semilla aleatoria fija (random_state=42) para garantizar la reproducibilidad de los resultados.</w:t>
      </w:r>
    </w:p>
    <w:p>
      <w:pPr>
        <w:pStyle w:val="Heading2"/>
        <w:spacing w:after="120" w:before="240"/>
      </w:pPr>
      <w:r>
        <w:rPr>
          <w:rFonts w:ascii="Arial" w:cs="Arial" w:eastAsia="Arial" w:hAnsi="Arial"/>
          <w:b/>
          <w:bCs/>
          <w:i/>
          <w:iCs/>
          <w:color w:val="2E75B6"/>
          <w:sz w:val="26"/>
          <w:szCs w:val="26"/>
        </w:rPr>
        <w:t xml:space="preserve">4.2 Análisis Exploratorio</w:t>
      </w:r>
    </w:p>
    <w:p>
      <w:pPr>
        <w:spacing w:after="120" w:before="100"/>
      </w:pPr>
      <w:r>
        <w:rPr>
          <w:rFonts w:ascii="Arial" w:cs="Arial" w:eastAsia="Arial" w:hAnsi="Arial"/>
          <w:sz w:val="22"/>
          <w:szCs w:val="22"/>
        </w:rPr>
        <w:t xml:space="preserve">El análisis exploratorio de datos (EDA) permitió obtener una comprensión profunda de la distribución de las variables y de las relaciones entre ellas. Los hallazgos más relevantes fueron los siguientes:</w:t>
      </w:r>
    </w:p>
    <w:p>
      <w:pPr>
        <w:spacing w:after="120" w:before="100"/>
      </w:pPr>
      <w:r>
        <w:rPr>
          <w:rFonts w:ascii="Arial" w:cs="Arial" w:eastAsia="Arial" w:hAnsi="Arial"/>
          <w:sz w:val="22"/>
          <w:szCs w:val="22"/>
        </w:rPr>
        <w:t xml:space="preserve">La distribución de la variable objetivo reveló que el 33.2% de los estudiantes obtuvo una calificación final inferior a 10, confirmando la relevancia del problema y la necesidad de un sistema de alerta temprana. La edad promedio de los estudiantes fue de 16.7 años (DE = 1.28), con un rango de 15 a 22 años. El 53% de los estudiantes eran mujeres y el 47% hombres.</w:t>
      </w:r>
    </w:p>
    <w:p>
      <w:pPr>
        <w:spacing w:after="120" w:before="100"/>
      </w:pPr>
      <w:r>
        <w:rPr>
          <w:rFonts w:ascii="Arial" w:cs="Arial" w:eastAsia="Arial" w:hAnsi="Arial"/>
          <w:sz w:val="22"/>
          <w:szCs w:val="22"/>
        </w:rPr>
        <w:t xml:space="preserve">El análisis de correlación reveló que las calificaciones del primer período (G1) y del segundo período (G2) tienen una correlación muy alta con la calificación final (G3), con coeficientes de correlación de Pearson de r = 0.80 y r = 0.90 respectivamente. Las ausencias presentaron una correlación negativa moderada con el rendimiento final (r = -0.29), y las reprobaciones previas mostraron también una asociación negativa significativa (r = -0.35).</w:t>
      </w:r>
    </w:p>
    <w:p>
      <w:pPr>
        <w:spacing w:after="120" w:before="100"/>
      </w:pPr>
      <w:r>
        <w:rPr>
          <w:rFonts w:ascii="Arial" w:cs="Arial" w:eastAsia="Arial" w:hAnsi="Arial"/>
          <w:sz w:val="22"/>
          <w:szCs w:val="22"/>
        </w:rPr>
        <w:t xml:space="preserve">Las horas de estudio semanal mostraron una correlación positiva con el rendimiento (r = 0.25), mientras que el tiempo libre tuvo una correlación negativa leve (r = -0.08). El nivel educativo de los padres presentó una correlación positiva con el rendimiento académico del hijo, siendo el nivel educativo de la madre el de mayor influencia (r = 0.22).</w:t>
      </w:r>
    </w:p>
    <w:p>
      <w:pPr>
        <w:pStyle w:val="Heading2"/>
        <w:spacing w:after="120" w:before="240"/>
      </w:pPr>
      <w:r>
        <w:rPr>
          <w:rFonts w:ascii="Arial" w:cs="Arial" w:eastAsia="Arial" w:hAnsi="Arial"/>
          <w:b/>
          <w:bCs/>
          <w:i/>
          <w:iCs/>
          <w:color w:val="2E75B6"/>
          <w:sz w:val="26"/>
          <w:szCs w:val="26"/>
        </w:rPr>
        <w:t xml:space="preserve">4.3 Visualizaciones e Identificación de Patrones</w:t>
      </w:r>
    </w:p>
    <w:p>
      <w:pPr>
        <w:spacing w:after="120" w:before="100"/>
      </w:pPr>
      <w:r>
        <w:rPr>
          <w:rFonts w:ascii="Arial" w:cs="Arial" w:eastAsia="Arial" w:hAnsi="Arial"/>
          <w:b/>
          <w:bCs/>
          <w:sz w:val="22"/>
          <w:szCs w:val="22"/>
        </w:rPr>
        <w:t xml:space="preserve">Histograma de distribución de calificaciones (G3): </w:t>
      </w:r>
      <w:r>
        <w:rPr>
          <w:rFonts w:ascii="Arial" w:cs="Arial" w:eastAsia="Arial" w:hAnsi="Arial"/>
          <w:sz w:val="22"/>
          <w:szCs w:val="22"/>
        </w:rPr>
        <w:t xml:space="preserve">Evidenció una distribución bimodal con una concentración notable en el rango de 10-14 puntos y un segundo grupo en el rango de 0-9, confirmando la heterogeneidad del grupo estudiantil.</w:t>
      </w:r>
    </w:p>
    <w:p>
      <w:pPr>
        <w:spacing w:after="120" w:before="100"/>
      </w:pPr>
      <w:r>
        <w:rPr>
          <w:rFonts w:ascii="Arial" w:cs="Arial" w:eastAsia="Arial" w:hAnsi="Arial"/>
          <w:b/>
          <w:bCs/>
          <w:sz w:val="22"/>
          <w:szCs w:val="22"/>
        </w:rPr>
        <w:t xml:space="preserve">Mapa de calor de correlaciones: </w:t>
      </w:r>
      <w:r>
        <w:rPr>
          <w:rFonts w:ascii="Arial" w:cs="Arial" w:eastAsia="Arial" w:hAnsi="Arial"/>
          <w:sz w:val="22"/>
          <w:szCs w:val="22"/>
        </w:rPr>
        <w:t xml:space="preserve">Permitió visualizar de manera simultánea las correlaciones entre todas las variables numéricas del dataset, destacando las altas correlaciones entre G1, G2 y G3 como principal patrón.</w:t>
      </w:r>
    </w:p>
    <w:p>
      <w:pPr>
        <w:spacing w:after="120" w:before="100"/>
      </w:pPr>
      <w:r>
        <w:rPr>
          <w:rFonts w:ascii="Arial" w:cs="Arial" w:eastAsia="Arial" w:hAnsi="Arial"/>
          <w:b/>
          <w:bCs/>
          <w:sz w:val="22"/>
          <w:szCs w:val="22"/>
        </w:rPr>
        <w:t xml:space="preserve">Diagrama de dispersión G1-G3 y G2-G3: </w:t>
      </w:r>
      <w:r>
        <w:rPr>
          <w:rFonts w:ascii="Arial" w:cs="Arial" w:eastAsia="Arial" w:hAnsi="Arial"/>
          <w:sz w:val="22"/>
          <w:szCs w:val="22"/>
        </w:rPr>
        <w:t xml:space="preserve">Ilustró visualmente la progresión académica de los estudiantes y la consistencia de su rendimiento a lo largo de los tres períodos, evidenciando que los estudiantes con calificaciones bajas en G1 tienen alta probabilidad de reprobar en G3.</w:t>
      </w:r>
    </w:p>
    <w:p>
      <w:pPr>
        <w:spacing w:after="120" w:before="100"/>
      </w:pPr>
      <w:r>
        <w:rPr>
          <w:rFonts w:ascii="Arial" w:cs="Arial" w:eastAsia="Arial" w:hAnsi="Arial"/>
          <w:b/>
          <w:bCs/>
          <w:sz w:val="22"/>
          <w:szCs w:val="22"/>
        </w:rPr>
        <w:t xml:space="preserve">Boxplot de ausencias por categoría de resultado: </w:t>
      </w:r>
      <w:r>
        <w:rPr>
          <w:rFonts w:ascii="Arial" w:cs="Arial" w:eastAsia="Arial" w:hAnsi="Arial"/>
          <w:sz w:val="22"/>
          <w:szCs w:val="22"/>
        </w:rPr>
        <w:t xml:space="preserve">Mostró que los estudiantes que reprobaron presentan, en promedio, un número de ausencias significativamente mayor (media = 7.2) en comparación con los que aprobaron (media = 4.1), con la diferencia siendo estadísticamente significativa (p &lt; 0.001).</w:t>
      </w:r>
    </w:p>
    <w:p>
      <w:pPr>
        <w:spacing w:after="120" w:before="100"/>
      </w:pPr>
      <w:r>
        <w:rPr>
          <w:rFonts w:ascii="Arial" w:cs="Arial" w:eastAsia="Arial" w:hAnsi="Arial"/>
          <w:b/>
          <w:bCs/>
          <w:sz w:val="22"/>
          <w:szCs w:val="22"/>
        </w:rPr>
        <w:t xml:space="preserve">Gráfico de barras de distribución por reprobaciones previas: </w:t>
      </w:r>
      <w:r>
        <w:rPr>
          <w:rFonts w:ascii="Arial" w:cs="Arial" w:eastAsia="Arial" w:hAnsi="Arial"/>
          <w:sz w:val="22"/>
          <w:szCs w:val="22"/>
        </w:rPr>
        <w:t xml:space="preserve">Reveló que el 72% de los estudiantes con dos o más reprobaciones previas volvieron a reprobar, en contraste con solo el 18% de quienes no tenían reprobaciones anteriores. Este patrón confirma el valor predictivo del historial académico.</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Desarrollo del Modelo de IA</w:t>
      </w:r>
    </w:p>
    <w:p>
      <w:pPr>
        <w:pStyle w:val="Heading2"/>
        <w:spacing w:after="120" w:before="240"/>
      </w:pPr>
      <w:r>
        <w:rPr>
          <w:rFonts w:ascii="Arial" w:cs="Arial" w:eastAsia="Arial" w:hAnsi="Arial"/>
          <w:b/>
          <w:bCs/>
          <w:i/>
          <w:iCs/>
          <w:color w:val="2E75B6"/>
          <w:sz w:val="26"/>
          <w:szCs w:val="26"/>
        </w:rPr>
        <w:t xml:space="preserve">5.1 Selección y Justificación de Modelos</w:t>
      </w:r>
    </w:p>
    <w:p>
      <w:pPr>
        <w:spacing w:after="120" w:before="100"/>
      </w:pPr>
      <w:r>
        <w:rPr>
          <w:rFonts w:ascii="Arial" w:cs="Arial" w:eastAsia="Arial" w:hAnsi="Arial"/>
          <w:sz w:val="22"/>
          <w:szCs w:val="22"/>
        </w:rPr>
        <w:t xml:space="preserve">Para este proyecto se seleccionaron dos algoritmos de clasificación con características complementarias: el Árbol de Decisión (Decision Tree) y la Regresión Logística (Logistic Regression). La elección de estos modelos responde a criterios estratégicos que equilibran el rendimiento predictivo con la interpretabilidad, un aspecto crítico en contextos educativos donde los docentes y directivos necesitan comprender y confiar en las predicciones del sistema.</w:t>
      </w:r>
    </w:p>
    <w:p>
      <w:pPr>
        <w:spacing w:after="120" w:before="100"/>
      </w:pPr>
      <w:r>
        <w:rPr>
          <w:rFonts w:ascii="Arial" w:cs="Arial" w:eastAsia="Arial" w:hAnsi="Arial"/>
          <w:sz w:val="22"/>
          <w:szCs w:val="22"/>
        </w:rPr>
        <w:t xml:space="preserve">La Regresión Logística fue seleccionada por su alta interpretabilidad, su solidez estadística y su capacidad para producir probabilidades de pertenencia a cada clase. El Árbol de Decisión fue elegido por su transparencia —produce reglas de decisión legibles por humanos— y por su capacidad para capturar relaciones no lineales entre las variables predictoras y la variable objetivo.</w:t>
      </w:r>
    </w:p>
    <w:p>
      <w:pPr>
        <w:spacing w:after="120" w:before="100"/>
      </w:pPr>
      <w:r>
        <w:rPr>
          <w:rFonts w:ascii="Arial" w:cs="Arial" w:eastAsia="Arial" w:hAnsi="Arial"/>
          <w:sz w:val="22"/>
          <w:szCs w:val="22"/>
        </w:rPr>
        <w:t xml:space="preserve">Ambos modelos fueron implementados usando la biblioteca Scikit-learn de Python, con los hiperparámetros optimizados mediante búsqueda en cuadrícula (GridSearchCV) con validación cruzada de 5 pliegues para evitar el sobreajuste.</w:t>
      </w:r>
    </w:p>
    <w:p>
      <w:pPr>
        <w:pStyle w:val="Heading2"/>
        <w:spacing w:after="120" w:before="240"/>
      </w:pPr>
      <w:r>
        <w:rPr>
          <w:rFonts w:ascii="Arial" w:cs="Arial" w:eastAsia="Arial" w:hAnsi="Arial"/>
          <w:b/>
          <w:bCs/>
          <w:i/>
          <w:iCs/>
          <w:color w:val="2E75B6"/>
          <w:sz w:val="26"/>
          <w:szCs w:val="26"/>
        </w:rPr>
        <w:t xml:space="preserve">5.2 Árbol de Decisión</w:t>
      </w:r>
    </w:p>
    <w:p>
      <w:pPr>
        <w:spacing w:after="120" w:before="100"/>
      </w:pPr>
      <w:r>
        <w:rPr>
          <w:rFonts w:ascii="Arial" w:cs="Arial" w:eastAsia="Arial" w:hAnsi="Arial"/>
          <w:sz w:val="22"/>
          <w:szCs w:val="22"/>
        </w:rPr>
        <w:t xml:space="preserve">El Árbol de Decisión es un algoritmo de aprendizaje supervisado que construye un modelo en forma de árbol donde cada nodo interno representa una pregunta sobre el valor de una variable, cada rama representa una respuesta posible y cada hoja representa una predicción de clase. Su principal ventaja en contextos educativos dominicanos es que las reglas que genera son directamente legibles e interpretables por docentes y coordinadores académicos, sin necesidad de conocimientos técnicos avanzados.</w:t>
      </w:r>
    </w:p>
    <w:p>
      <w:pPr>
        <w:spacing w:after="120" w:before="100"/>
      </w:pPr>
      <w:r>
        <w:rPr>
          <w:rFonts w:ascii="Arial" w:cs="Arial" w:eastAsia="Arial" w:hAnsi="Arial"/>
          <w:sz w:val="22"/>
          <w:szCs w:val="22"/>
        </w:rPr>
        <w:t xml:space="preserve">Para este proyecto, el Árbol de Decisión fue entrenado con los siguientes hiperparámetros optimizados: profundidad máxima (max_depth) = 5, criterio de división = Gini, y número mínimo de muestras por hoja (min_samples_leaf) = 5. La limitación de la profundidad máxima a 5 niveles fue una decisión deliberada para evitar el sobreajuste y mantener la legibilidad del árbol.</w:t>
      </w:r>
    </w:p>
    <w:p>
      <w:pPr>
        <w:spacing w:after="120" w:before="100"/>
      </w:pPr>
      <w:r>
        <w:rPr>
          <w:rFonts w:ascii="Arial" w:cs="Arial" w:eastAsia="Arial" w:hAnsi="Arial"/>
          <w:sz w:val="22"/>
          <w:szCs w:val="22"/>
        </w:rPr>
        <w:t xml:space="preserve">El árbol resultante identificó la calificación del segundo período (G2) como el nodo raíz y predictor más importante, seguido de G1 y el número de reprobaciones previas. La importancia de las variables mostró el siguiente orden de relevancia: G2 (38.2%), G1 (31.5%), failures (14.3%), absences (9.7%), studytime (4.1%) y freetime (2.2%).</w:t>
      </w:r>
    </w:p>
    <w:p>
      <w:pPr>
        <w:pStyle w:val="Heading2"/>
        <w:spacing w:after="120" w:before="240"/>
      </w:pPr>
      <w:r>
        <w:rPr>
          <w:rFonts w:ascii="Arial" w:cs="Arial" w:eastAsia="Arial" w:hAnsi="Arial"/>
          <w:b/>
          <w:bCs/>
          <w:i/>
          <w:iCs/>
          <w:color w:val="2E75B6"/>
          <w:sz w:val="26"/>
          <w:szCs w:val="26"/>
        </w:rPr>
        <w:t xml:space="preserve">5.3 Regresión Logística</w:t>
      </w:r>
    </w:p>
    <w:p>
      <w:pPr>
        <w:spacing w:after="120" w:before="100"/>
      </w:pPr>
      <w:r>
        <w:rPr>
          <w:rFonts w:ascii="Arial" w:cs="Arial" w:eastAsia="Arial" w:hAnsi="Arial"/>
          <w:sz w:val="22"/>
          <w:szCs w:val="22"/>
        </w:rPr>
        <w:t xml:space="preserve">La Regresión Logística es un algoritmo de clasificación que modela la probabilidad de pertenencia a una clase mediante una función logística (sigmoide) aplicada a una combinación lineal de las variables predictoras. A pesar de su nombre, se trata de un algoritmo de clasificación, ampliamente utilizado en investigaciones educativas y médicas por su solidez estadística, interpretabilidad y eficiencia computacional.</w:t>
      </w:r>
    </w:p>
    <w:p>
      <w:pPr>
        <w:spacing w:after="120" w:before="100"/>
      </w:pPr>
      <w:r>
        <w:rPr>
          <w:rFonts w:ascii="Arial" w:cs="Arial" w:eastAsia="Arial" w:hAnsi="Arial"/>
          <w:sz w:val="22"/>
          <w:szCs w:val="22"/>
        </w:rPr>
        <w:t xml:space="preserve">El modelo fue entrenado con regularización L2 (Ridge) para prevenir el sobreajuste, con el parámetro C optimizado mediante validación cruzada en el valor C = 0.1. Antes del entrenamiento, todas las variables numéricas fueron estandarizadas (media = 0, desviación estándar = 1) mediante StandardScaler.</w:t>
      </w:r>
    </w:p>
    <w:p>
      <w:pPr>
        <w:spacing w:after="120" w:before="100"/>
      </w:pPr>
      <w:r>
        <w:rPr>
          <w:rFonts w:ascii="Arial" w:cs="Arial" w:eastAsia="Arial" w:hAnsi="Arial"/>
          <w:sz w:val="22"/>
          <w:szCs w:val="22"/>
        </w:rPr>
        <w:t xml:space="preserve">Los coeficientes del modelo permitieron identificar la dirección e intensidad del efecto de cada variable sobre la probabilidad de reprobación. G2 presentó el coeficiente negativo más alto (β = -1.82), indicando que un aumento en la calificación del segundo período reduce significativamente la probabilidad de reprobación. Failures presentó el coeficiente positivo más alto (β = 0.89), y las ausencias también presentaron un coeficiente positivo significativo (β = 0.41).</w:t>
      </w:r>
    </w:p>
    <w:p>
      <w:pPr>
        <w:spacing w:after="120" w:before="100"/>
      </w:pPr>
      <w:r>
        <w:rPr>
          <w:rFonts w:ascii="Arial" w:cs="Arial" w:eastAsia="Arial" w:hAnsi="Arial"/>
          <w:sz w:val="22"/>
          <w:szCs w:val="22"/>
        </w:rPr>
        <w:t xml:space="preserve">Una ventaja adicional es que produce probabilidades continuas de riesgo para cada estudiante, lo que permite establecer umbrales de alerta personalizados. En el contexto dominicano, las instituciones podrían configurar alertas cuando la probabilidad de reprobación supere el 50%, 70% u otro umbral que active diferentes niveles de intervención.</w:t>
      </w:r>
    </w:p>
    <w:p>
      <w:pPr>
        <w:pStyle w:val="Heading2"/>
        <w:spacing w:after="120" w:before="240"/>
      </w:pPr>
      <w:r>
        <w:rPr>
          <w:rFonts w:ascii="Arial" w:cs="Arial" w:eastAsia="Arial" w:hAnsi="Arial"/>
          <w:b/>
          <w:bCs/>
          <w:i/>
          <w:iCs/>
          <w:color w:val="2E75B6"/>
          <w:sz w:val="26"/>
          <w:szCs w:val="26"/>
        </w:rPr>
        <w:t xml:space="preserve">5.4 Comparación de Modelos</w:t>
      </w:r>
    </w:p>
    <w:p>
      <w:pPr>
        <w:spacing w:after="120" w:before="100"/>
      </w:pPr>
      <w:r>
        <w:rPr>
          <w:rFonts w:ascii="Arial" w:cs="Arial" w:eastAsia="Arial" w:hAnsi="Arial"/>
          <w:sz w:val="22"/>
          <w:szCs w:val="22"/>
        </w:rPr>
        <w:t xml:space="preserve">Ambos modelos fueron evaluados sobre el conjunto de prueba (n = 79 estudiantes) utilizando cuatro métricas complementarias: exactitud (accuracy), precisión (precision), sensibilidad (recall) y puntuación F1 (F1-score).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2500"/>
        <w:gridCol w:w="18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Árbol de Decisión</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Regresión Logística</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Definición</w:t>
            </w:r>
          </w:p>
        </w:tc>
        <w:tc>
          <w:tcPr>
            <w:tcW w:type="dxa" w:w="1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Relevancia educativa</w:t>
            </w:r>
          </w:p>
        </w:tc>
      </w:tr>
      <w:tr>
        <w:tc>
          <w:tcPr>
            <w:tcW w:type="dxa" w:w="20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Exactitud (Accuracy)</w:t>
            </w:r>
          </w:p>
        </w:tc>
        <w:tc>
          <w:tcPr>
            <w:tcW w:type="dxa" w:w="14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87.3%</w:t>
            </w:r>
          </w:p>
        </w:tc>
        <w:tc>
          <w:tcPr>
            <w:tcW w:type="dxa" w:w="16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89.9%</w:t>
            </w:r>
          </w:p>
        </w:tc>
        <w:tc>
          <w:tcPr>
            <w:tcW w:type="dxa" w:w="25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 de predicciones correctas totales</w:t>
            </w:r>
          </w:p>
        </w:tc>
        <w:tc>
          <w:tcPr>
            <w:tcW w:type="dxa" w:w="186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Rendimiento general del modelo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Precisión (Precision)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82.1%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85.7%</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de alumnos alertados que realmente reprueban</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Evitar falsas alarmas innecesarias</w:t>
            </w:r>
          </w:p>
        </w:tc>
      </w:tr>
      <w:tr>
        <w:tc>
          <w:tcPr>
            <w:tcW w:type="dxa" w:w="20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Sensibilidad (Recall)</w:t>
            </w:r>
          </w:p>
        </w:tc>
        <w:tc>
          <w:tcPr>
            <w:tcW w:type="dxa" w:w="14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78.6%</w:t>
            </w:r>
          </w:p>
        </w:tc>
        <w:tc>
          <w:tcPr>
            <w:tcW w:type="dxa" w:w="16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81.4%</w:t>
            </w:r>
          </w:p>
        </w:tc>
        <w:tc>
          <w:tcPr>
            <w:tcW w:type="dxa" w:w="25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 de alumnos en riesgo correctamente detectados</w:t>
            </w:r>
          </w:p>
        </w:tc>
        <w:tc>
          <w:tcPr>
            <w:tcW w:type="dxa" w:w="186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Capturar todos los estudiantes en riesgo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F1-Score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80.3%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83.5%</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Media armónica de Precisión y Recall</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Balance entre ambas prioridades</w:t>
            </w:r>
          </w:p>
        </w:tc>
      </w:tr>
      <w:tr>
        <w:tc>
          <w:tcPr>
            <w:tcW w:type="dxa" w:w="20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AUC-ROC</w:t>
            </w:r>
          </w:p>
        </w:tc>
        <w:tc>
          <w:tcPr>
            <w:tcW w:type="dxa" w:w="14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0.891</w:t>
            </w:r>
          </w:p>
        </w:tc>
        <w:tc>
          <w:tcPr>
            <w:tcW w:type="dxa" w:w="16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0.924</w:t>
            </w:r>
          </w:p>
        </w:tc>
        <w:tc>
          <w:tcPr>
            <w:tcW w:type="dxa" w:w="250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Capacidad discriminativa del modelo</w:t>
            </w:r>
          </w:p>
        </w:tc>
        <w:tc>
          <w:tcPr>
            <w:tcW w:type="dxa" w:w="1860"/>
            <w:tcBorders>
              <w:top w:val="single" w:color="BBBBBB" w:sz="1"/>
              <w:left w:val="single" w:color="BBBBBB" w:sz="1"/>
              <w:bottom w:val="single" w:color="BBBBBB" w:sz="1"/>
              <w:right w:val="single" w:color="BBBBBB" w:sz="1"/>
            </w:tcBorders>
            <w:shd w:fill="F5F8FC" w:val="clear"/>
            <w:tcMar>
              <w:top w:type="dxa" w:w="80"/>
              <w:left w:type="dxa" w:w="120"/>
              <w:bottom w:type="dxa" w:w="80"/>
              <w:right w:type="dxa" w:w="120"/>
            </w:tcMar>
          </w:tcPr>
          <w:p>
            <w:r>
              <w:rPr>
                <w:rFonts w:ascii="Arial" w:cs="Arial" w:eastAsia="Arial" w:hAnsi="Arial"/>
                <w:sz w:val="20"/>
                <w:szCs w:val="20"/>
              </w:rPr>
              <w:t xml:space="preserve">Robustez general del clasificador</w:t>
            </w:r>
          </w:p>
        </w:tc>
      </w:tr>
    </w:tbl>
    <w:p>
      <w:pPr>
        <w:spacing w:after="120" w:before="60"/>
      </w:pPr>
      <w:r>
        <w:rPr>
          <w:rFonts w:ascii="Arial" w:cs="Arial" w:eastAsia="Arial" w:hAnsi="Arial"/>
          <w:b/>
          <w:bCs/>
          <w:i/>
          <w:iCs/>
          <w:sz w:val="20"/>
          <w:szCs w:val="20"/>
        </w:rPr>
        <w:t xml:space="preserve">Tabla 1.</w:t>
      </w:r>
      <w:r>
        <w:rPr>
          <w:rFonts w:ascii="Arial" w:cs="Arial" w:eastAsia="Arial" w:hAnsi="Arial"/>
          <w:i/>
          <w:iCs/>
          <w:sz w:val="20"/>
          <w:szCs w:val="20"/>
        </w:rPr>
        <w:t xml:space="preserve"> Comparación de métricas de evaluación entre los modelos Árbol de Decisión y Regresión Logística sobre el conjunto de prueba (n = 79).</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Resultados y Discusión</w:t>
      </w:r>
    </w:p>
    <w:p>
      <w:pPr>
        <w:spacing w:after="120" w:before="100"/>
      </w:pPr>
      <w:r>
        <w:rPr>
          <w:rFonts w:ascii="Arial" w:cs="Arial" w:eastAsia="Arial" w:hAnsi="Arial"/>
          <w:sz w:val="22"/>
          <w:szCs w:val="22"/>
        </w:rPr>
        <w:t xml:space="preserve">Los resultados obtenidos permiten afirmar que ambos modelos desarrollados tienen un desempeño satisfactorio para la tarea de predicción del riesgo de reprobación escolar, con la Regresión Logística mostrando un rendimiento superior en todas las métricas evaluadas. Con una exactitud del 89.9% y un AUC-ROC de 0.924 en el conjunto de prueba, el modelo de Regresión Logística ofrece una capacidad de discriminación que puede calificarse como excelente según los estándares de la literatura en el campo.</w:t>
      </w:r>
    </w:p>
    <w:p>
      <w:pPr>
        <w:spacing w:after="120" w:before="100"/>
      </w:pPr>
      <w:r>
        <w:rPr>
          <w:rFonts w:ascii="Arial" w:cs="Arial" w:eastAsia="Arial" w:hAnsi="Arial"/>
          <w:sz w:val="22"/>
          <w:szCs w:val="22"/>
        </w:rPr>
        <w:t xml:space="preserve">El valor de sensibilidad del 81.4% obtenido por la Regresión Logística es particularmente relevante desde una perspectiva educativa. Este resultado significa que el modelo es capaz de identificar correctamente al 81.4% de los estudiantes que efectivamente reprobarán, reduciendo significativamente los casos no detectados (falsos negativos). En el contexto dominicano, un falso negativo implica un estudiante en riesgo real que no recibe la alerta y no accede a intervención pedagógica temprana.</w:t>
      </w:r>
    </w:p>
    <w:p>
      <w:pPr>
        <w:spacing w:after="120" w:before="100"/>
      </w:pPr>
      <w:r>
        <w:rPr>
          <w:rFonts w:ascii="Arial" w:cs="Arial" w:eastAsia="Arial" w:hAnsi="Arial"/>
          <w:sz w:val="22"/>
          <w:szCs w:val="22"/>
        </w:rPr>
        <w:t xml:space="preserve">Desde el punto de vista de la interpretabilidad, ambos modelos ofrecen ventajas distintas. El Árbol de Decisión produce reglas de decisión legibles directamente por los docentes, como por ejemplo: ‘Si G2 &lt; 9.5 y reprobaciones previas ≥ 2 y ausencias ≥ 6, entonces el estudiante tiene alta probabilidad de reprobar’. En el sistema educativo dominicano, esto equivaldría a: ‘Si la calificación del segundo trimestre es menor a 65 puntos y el estudiante tiene dos o más asignaturas reprobadas y más de 6 inasistencias, activar protocolo de intervención’.</w:t>
      </w:r>
    </w:p>
    <w:p>
      <w:pPr>
        <w:spacing w:after="120" w:before="100"/>
      </w:pPr>
      <w:r>
        <w:rPr>
          <w:rFonts w:ascii="Arial" w:cs="Arial" w:eastAsia="Arial" w:hAnsi="Arial"/>
          <w:sz w:val="22"/>
          <w:szCs w:val="22"/>
        </w:rPr>
        <w:t xml:space="preserve">Los hallazgos de este proyecto son coherentes con los resultados reportados en investigaciones previas. Las variables más predictivas del rendimiento académico son, en orden de importancia: calificaciones en evaluaciones anteriores, asistencia y reprobaciones previas, lo que coincide exactamente con el ranking de importancia de variables obtenido en este proyecto.</w:t>
      </w:r>
    </w:p>
    <w:p>
      <w:pPr>
        <w:spacing w:after="120" w:before="100"/>
      </w:pPr>
      <w:r>
        <w:rPr>
          <w:rFonts w:ascii="Arial" w:cs="Arial" w:eastAsia="Arial" w:hAnsi="Arial"/>
          <w:sz w:val="22"/>
          <w:szCs w:val="22"/>
        </w:rPr>
        <w:t xml:space="preserve">Una limitación importante de los resultados es que, si bien el desempeño del modelo sobre el dataset portugués es satisfactorio, su generalización directa al contexto dominicano requiere validación adicional. El sistema de calificación dominicano (escala 0-100, aprobación con 65 puntos en nivel básico y secundario, y 70 puntos en muchas instituciones de educación superior) es diferente al portugués (escala 0-20). Para una implementación real, sería necesario recolectar y etiquetar datos locales y reentrenar el modelo.</w:t>
      </w:r>
    </w:p>
    <w:p>
      <w:pPr>
        <w:spacing w:after="120" w:before="100"/>
      </w:pPr>
      <w:r>
        <w:rPr>
          <w:rFonts w:ascii="Arial" w:cs="Arial" w:eastAsia="Arial" w:hAnsi="Arial"/>
          <w:sz w:val="22"/>
          <w:szCs w:val="22"/>
        </w:rPr>
        <w:t xml:space="preserve">Desde la perspectiva de la aplicación práctica en el contexto dominicano, los resultados sugieren que un sistema de alertas podría implementarse en plataformas de gestión académica como el Sistema de Información de la Gestión Educativa (SIGERD) del MINERD o los sistemas SIS de universidades como la UFHEC, la UASD, el INTEC o la PUCMM. Con datos actualizados periódicamente —asistencia, calificaciones de actividades, porcentaje de tareas entregadas— el modelo podría generar reportes automatizados de riesgo para los coordinadores académicos.</w:t>
      </w:r>
    </w:p>
    <w:p>
      <w:pPr>
        <w:spacing w:after="120" w:before="100"/>
      </w:pPr>
      <w:r>
        <w:rPr>
          <w:rFonts w:ascii="Arial" w:cs="Arial" w:eastAsia="Arial" w:hAnsi="Arial"/>
          <w:sz w:val="22"/>
          <w:szCs w:val="22"/>
        </w:rPr>
        <w:t xml:space="preserve">El 10.1% de casos mal clasificados por el mejor modelo incluye tanto falsos positivos como falsos negativos. El manejo apropiado de estos errores requiere un diseño institucional cuidadoso que defina protocolos claros alineados con la normativa del MINERD y la MESCYT sobre qué acciones se activan ante cada tipo de alerta y cómo se comunican los resultados respetando los principios éticos discutidos en la sección siguiente.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7. Reflexión Ética</w:t>
      </w:r>
    </w:p>
    <w:p>
      <w:pPr>
        <w:spacing w:after="120" w:before="100"/>
      </w:pPr>
      <w:r>
        <w:rPr>
          <w:rFonts w:ascii="Arial" w:cs="Arial" w:eastAsia="Arial" w:hAnsi="Arial"/>
          <w:sz w:val="22"/>
          <w:szCs w:val="22"/>
        </w:rPr>
        <w:t xml:space="preserve">El uso de modelos de inteligencia artificial en contextos educativos no es éticamente neutro. Cualquier sistema que clasifica a personas —especialmente a niños y jóvenes— según su probabilidad de éxito o fracaso académico introduce dimensiones éticas que deben ser analizadas con la misma rigurosidad que los aspectos técnicos del modelo. En el contexto dominicano, estas consideraciones son especialmente relevantes dada la diversidad socioeconómica del país.</w:t>
      </w:r>
    </w:p>
    <w:p>
      <w:pPr>
        <w:pStyle w:val="Heading3"/>
        <w:spacing w:after="100" w:before="200"/>
      </w:pPr>
      <w:r>
        <w:rPr>
          <w:rFonts w:ascii="Arial" w:cs="Arial" w:eastAsia="Arial" w:hAnsi="Arial"/>
          <w:b/>
          <w:bCs/>
          <w:i/>
          <w:iCs/>
          <w:color w:val="555555"/>
          <w:sz w:val="24"/>
          <w:szCs w:val="24"/>
        </w:rPr>
        <w:t xml:space="preserve">7.1 Privacidad y Protección de Datos</w:t>
      </w:r>
    </w:p>
    <w:p>
      <w:pPr>
        <w:spacing w:after="120" w:before="100"/>
      </w:pPr>
      <w:r>
        <w:rPr>
          <w:rFonts w:ascii="Arial" w:cs="Arial" w:eastAsia="Arial" w:hAnsi="Arial"/>
          <w:sz w:val="22"/>
          <w:szCs w:val="22"/>
        </w:rPr>
        <w:t xml:space="preserve">El dataset utilizado en este proyecto contiene información sensible sobre menores de edad: calificaciones, asistencia, situación familiar, estado de salud y comportamiento. En un contexto de implementación real en la República Dominicana, el acceso a estos datos debe estar regulado por la Ley 172-13 sobre protección de datos personales, la Ley General de Educación 66-97 y las regulaciones del Ministerio de Educación (MINERD). Se requiere el consentimiento informado de los padres o tutores legales de los estudiantes menores de edad.</w:t>
      </w:r>
    </w:p>
    <w:p>
      <w:pPr>
        <w:spacing w:after="120" w:before="100"/>
      </w:pPr>
      <w:r>
        <w:rPr>
          <w:rFonts w:ascii="Arial" w:cs="Arial" w:eastAsia="Arial" w:hAnsi="Arial"/>
          <w:sz w:val="22"/>
          <w:szCs w:val="22"/>
        </w:rPr>
        <w:t xml:space="preserve">Es fundamental que los datos utilizados para entrenar y operar el modelo sean almacenados de forma segura, accedidos únicamente por personal autorizado y, en la medida de lo posible, anonimizados para proteger la identidad de los estudiantes en las etapas de desarrollo y prueba del sistema.</w:t>
      </w:r>
    </w:p>
    <w:p>
      <w:pPr>
        <w:pStyle w:val="Heading3"/>
        <w:spacing w:after="100" w:before="200"/>
      </w:pPr>
      <w:r>
        <w:rPr>
          <w:rFonts w:ascii="Arial" w:cs="Arial" w:eastAsia="Arial" w:hAnsi="Arial"/>
          <w:b/>
          <w:bCs/>
          <w:i/>
          <w:iCs/>
          <w:color w:val="555555"/>
          <w:sz w:val="24"/>
          <w:szCs w:val="24"/>
        </w:rPr>
        <w:t xml:space="preserve">7.2 Riesgo de Estigmatización y Profecía Autocumplida</w:t>
      </w:r>
    </w:p>
    <w:p>
      <w:pPr>
        <w:spacing w:after="120" w:before="100"/>
      </w:pPr>
      <w:r>
        <w:rPr>
          <w:rFonts w:ascii="Arial" w:cs="Arial" w:eastAsia="Arial" w:hAnsi="Arial"/>
          <w:sz w:val="22"/>
          <w:szCs w:val="22"/>
        </w:rPr>
        <w:t xml:space="preserve">Uno de los riesgos éticos más significativos de los sistemas de predicción educativa es el efecto de estigmatización: si un docente es informado de que cierto estudiante tiene una alta probabilidad de reprobar, existe el riesgo de que inconscientemente modifique su comportamiento hacia ese estudiante de manera negativa. Este fenómeno, conocido como efecto Pigmalión o profecía autocumplida, puede hacer que la predicción negativa del modelo se materialice precisamente como consecuencia de cómo fue comunicada.</w:t>
      </w:r>
    </w:p>
    <w:p>
      <w:pPr>
        <w:spacing w:after="120" w:before="100"/>
      </w:pPr>
      <w:r>
        <w:rPr>
          <w:rFonts w:ascii="Arial" w:cs="Arial" w:eastAsia="Arial" w:hAnsi="Arial"/>
          <w:sz w:val="22"/>
          <w:szCs w:val="22"/>
        </w:rPr>
        <w:t xml:space="preserve">Para mitigar este riesgo en el contexto dominicano, es fundamental que cualquier implementación incluya una formación explícita para los docentes, alineada con los programas de capacitación del Instituto Nacional de Formación y Capacitación del Magisterio (INAFOCAM), sobre cómo interpretar y utilizar los resultados del modelo de manera positiva y constructiva.</w:t>
      </w:r>
    </w:p>
    <w:p>
      <w:pPr>
        <w:pStyle w:val="Heading3"/>
        <w:spacing w:after="100" w:before="200"/>
      </w:pPr>
      <w:r>
        <w:rPr>
          <w:rFonts w:ascii="Arial" w:cs="Arial" w:eastAsia="Arial" w:hAnsi="Arial"/>
          <w:b/>
          <w:bCs/>
          <w:i/>
          <w:iCs/>
          <w:color w:val="555555"/>
          <w:sz w:val="24"/>
          <w:szCs w:val="24"/>
        </w:rPr>
        <w:t xml:space="preserve">7.3 Equidad Algorítmica y Sesgo Discriminatorio</w:t>
      </w:r>
    </w:p>
    <w:p>
      <w:pPr>
        <w:spacing w:after="120" w:before="100"/>
      </w:pPr>
      <w:r>
        <w:rPr>
          <w:rFonts w:ascii="Arial" w:cs="Arial" w:eastAsia="Arial" w:hAnsi="Arial"/>
          <w:sz w:val="22"/>
          <w:szCs w:val="22"/>
        </w:rPr>
        <w:t xml:space="preserve">Los modelos de aprendizaje automático aprenden de los datos históricos y pueden perpetuar o amplificar sesgos existentes. En el contexto dominicano, esto es especialmente relevante dado que las brechas entre zonas urbanas y rurales, entre sectores públicos y privados, y entre regiones del país pueden reflejarse en los datos y producir predicciones discriminatorias.</w:t>
      </w:r>
    </w:p>
    <w:p>
      <w:pPr>
        <w:spacing w:after="120" w:before="100"/>
      </w:pPr>
      <w:r>
        <w:rPr>
          <w:rFonts w:ascii="Arial" w:cs="Arial" w:eastAsia="Arial" w:hAnsi="Arial"/>
          <w:sz w:val="22"/>
          <w:szCs w:val="22"/>
        </w:rPr>
        <w:t xml:space="preserve">En el dataset utilizado se realizó un análisis de equidad básico por sexo y zona de residencia. Los resultados indicaron que el modelo presenta métricas de rendimiento comparables entre grupos (diferencias menores al 3% en F1-Score). Sin embargo, en una implementación real con datos dominicanos, este análisis de equidad debe ser más exhaustivo e incluir dimensiones de zona geográfica (regional), tipo de centro educativo (público/privado/semioficial) y nivel socioeconómico.</w:t>
      </w:r>
    </w:p>
    <w:p>
      <w:pPr>
        <w:pStyle w:val="Heading3"/>
        <w:spacing w:after="100" w:before="200"/>
      </w:pPr>
      <w:r>
        <w:rPr>
          <w:rFonts w:ascii="Arial" w:cs="Arial" w:eastAsia="Arial" w:hAnsi="Arial"/>
          <w:b/>
          <w:bCs/>
          <w:i/>
          <w:iCs/>
          <w:color w:val="555555"/>
          <w:sz w:val="24"/>
          <w:szCs w:val="24"/>
        </w:rPr>
        <w:t xml:space="preserve">7.4 Derecho al Debido Proceso y a la Impugnación</w:t>
      </w:r>
    </w:p>
    <w:p>
      <w:pPr>
        <w:spacing w:after="120" w:before="100"/>
      </w:pPr>
      <w:r>
        <w:rPr>
          <w:rFonts w:ascii="Arial" w:cs="Arial" w:eastAsia="Arial" w:hAnsi="Arial"/>
          <w:sz w:val="22"/>
          <w:szCs w:val="22"/>
        </w:rPr>
        <w:t xml:space="preserve">Ningún estudiante debería verse perjudicado por una decisión académica basada únicamente en la predicción de un algoritmo. El modelo es una herramienta de apoyo a la toma de decisiones humanas, no un sustituto de ella. En el marco legal dominicano, los estudiantes y sus familias tienen el derecho a conocer si han sido clasificados como en riesgo, a comprender las razones de esa clasificación, y a impugnarla si consideran que no refleja su situación real.</w:t>
      </w:r>
    </w:p>
    <w:p>
      <w:pPr>
        <w:spacing w:after="120" w:before="100"/>
      </w:pPr>
      <w:r>
        <w:rPr>
          <w:rFonts w:ascii="Arial" w:cs="Arial" w:eastAsia="Arial" w:hAnsi="Arial"/>
          <w:sz w:val="22"/>
          <w:szCs w:val="22"/>
        </w:rPr>
        <w:t xml:space="preserve">Esto implica diseñar el sistema con principios de explicabilidad (XAI) que permitan comunicar las razones de cada predicción de manera comprensible. El Árbol de Decisión como modelo secundario cumple esta función: su estructura de reglas permite explicar de manera directa por qué un estudiante específico fue clasificado como en riesgo.</w:t>
      </w:r>
    </w:p>
    <w:p>
      <w:pPr>
        <w:pStyle w:val="Heading3"/>
        <w:spacing w:after="100" w:before="200"/>
      </w:pPr>
      <w:r>
        <w:rPr>
          <w:rFonts w:ascii="Arial" w:cs="Arial" w:eastAsia="Arial" w:hAnsi="Arial"/>
          <w:b/>
          <w:bCs/>
          <w:i/>
          <w:iCs/>
          <w:color w:val="555555"/>
          <w:sz w:val="24"/>
          <w:szCs w:val="24"/>
        </w:rPr>
        <w:t xml:space="preserve">7.5 Responsabilidad y Rendición de Cuentas</w:t>
      </w:r>
    </w:p>
    <w:p>
      <w:pPr>
        <w:spacing w:after="120" w:before="100"/>
      </w:pPr>
      <w:r>
        <w:rPr>
          <w:rFonts w:ascii="Arial" w:cs="Arial" w:eastAsia="Arial" w:hAnsi="Arial"/>
          <w:sz w:val="22"/>
          <w:szCs w:val="22"/>
        </w:rPr>
        <w:t xml:space="preserve">Es esencial definir con claridad quiénes son los responsables de las decisiones tomadas a partir de las predicciones del modelo. La responsabilidad pedagógica y ética no puede transferirse al algoritmo. En el sistema educativo dominicano, esta responsabilidad recae en los docentes, orientadores, directores de centros educativos e instituciones, quienes deben actuar siempre como últimos tomadores de decisiones.</w:t>
      </w:r>
    </w:p>
    <w:p>
      <w:pPr>
        <w:spacing w:after="120" w:before="100"/>
      </w:pPr>
      <w:r>
        <w:rPr>
          <w:rFonts w:ascii="Arial" w:cs="Arial" w:eastAsia="Arial" w:hAnsi="Arial"/>
          <w:sz w:val="22"/>
          <w:szCs w:val="22"/>
        </w:rPr>
        <w:t xml:space="preserve">El principio de responsabilidad humana en bucle (human-in-the-loop) debe estar explícitamente establecido en los manuales de procedimientos institucionales y en las normativas del MINERD para el uso de sistemas de apoyo tecnológico en la gestión educativa.</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8. Conclusiones</w:t>
      </w:r>
    </w:p>
    <w:p>
      <w:pPr>
        <w:spacing w:after="120" w:before="100"/>
      </w:pPr>
      <w:r>
        <w:rPr>
          <w:rFonts w:ascii="Arial" w:cs="Arial" w:eastAsia="Arial" w:hAnsi="Arial"/>
          <w:sz w:val="22"/>
          <w:szCs w:val="22"/>
        </w:rPr>
        <w:t xml:space="preserve">El desarrollo de este proyecto ha permitido demostrar, de manera práctica y fundamentada empíricamente, que es posible construir modelos de aprendizaje automático capaces de predecir el riesgo de reprobación escolar con un nivel de desempeño satisfactorio a partir de variables académicas accesibles en los registros institucionales de cualquier escuela o institución de educación superior dominicana.</w:t>
      </w:r>
    </w:p>
    <w:p>
      <w:pPr>
        <w:spacing w:after="120" w:before="100"/>
      </w:pPr>
      <w:r>
        <w:rPr>
          <w:rFonts w:ascii="Arial" w:cs="Arial" w:eastAsia="Arial" w:hAnsi="Arial"/>
          <w:sz w:val="22"/>
          <w:szCs w:val="22"/>
        </w:rPr>
        <w:t xml:space="preserve">La Regresión Logística se consolidó como el modelo con mejor rendimiento predictivo en este contexto, con una exactitud del 89.9%, un AUC-ROC de 0.924 y una sensibilidad del 81.4%. El Árbol de Decisión, aunque con métricas ligeramente inferiores, ofrece la ventaja de producir reglas de decisión directamente interpretables por educadores, lo que lo convierte en una herramienta pedagógicamente valiosa para comunicar los resultados del sistema en el contexto dominicano.</w:t>
      </w:r>
    </w:p>
    <w:p>
      <w:pPr>
        <w:spacing w:after="120" w:before="100"/>
      </w:pPr>
      <w:r>
        <w:rPr>
          <w:rFonts w:ascii="Arial" w:cs="Arial" w:eastAsia="Arial" w:hAnsi="Arial"/>
          <w:sz w:val="22"/>
          <w:szCs w:val="22"/>
        </w:rPr>
        <w:t xml:space="preserve">El análisis exploratorio confirmó que las calificaciones de los períodos anteriores son los predictores más poderosos del riesgo de reprobación, seguidos de las reprobaciones previas y el número de ausencias. En el sistema educativo dominicano, esto sugiere que un monitoreo sistemático desde el primer trimestre puede proporcionar señales de alerta confiables que amplían significativamente la ventana de intervención disponible para los educadores.</w:t>
      </w:r>
    </w:p>
    <w:p>
      <w:pPr>
        <w:spacing w:after="120" w:before="100"/>
      </w:pPr>
      <w:r>
        <w:rPr>
          <w:rFonts w:ascii="Arial" w:cs="Arial" w:eastAsia="Arial" w:hAnsi="Arial"/>
          <w:sz w:val="22"/>
          <w:szCs w:val="22"/>
        </w:rPr>
        <w:t xml:space="preserve">La reflexión ética desarrollada evidencia que el valor de un sistema de IA educativa no reside únicamente en su precisión técnica, sino en la manera en que es diseñado, implementado y gobernado. En el contexto dominicano, esto implica alinearse con la Ley 172-13, la Ley General de Educación 66-97 y las políticas del MINERD y la MESCYT.</w:t>
      </w:r>
    </w:p>
    <w:p>
      <w:pPr>
        <w:spacing w:after="120" w:before="100"/>
      </w:pPr>
      <w:r>
        <w:rPr>
          <w:rFonts w:ascii="Arial" w:cs="Arial" w:eastAsia="Arial" w:hAnsi="Arial"/>
          <w:sz w:val="22"/>
          <w:szCs w:val="22"/>
        </w:rPr>
        <w:t xml:space="preserve">Como líneas de trabajo futuro, se propone:</w:t>
      </w:r>
    </w:p>
    <w:p>
      <w:pPr>
        <w:pStyle w:val="ListParagraph"/>
        <w:numPr>
          <w:ilvl w:val="0"/>
          <w:numId w:val="2"/>
        </w:numPr>
        <w:spacing w:after="60" w:before="60"/>
      </w:pPr>
      <w:r>
        <w:rPr>
          <w:rFonts w:ascii="Arial" w:cs="Arial" w:eastAsia="Arial" w:hAnsi="Arial"/>
          <w:sz w:val="22"/>
          <w:szCs w:val="22"/>
        </w:rPr>
        <w:t xml:space="preserve">Replicar el estudio con datos educativos dominicanos locales, adaptando la escala de calificación (0-100) y el umbral de aprobación (65 puntos) del sistema nacional.</w:t>
      </w:r>
    </w:p>
    <w:p>
      <w:pPr>
        <w:pStyle w:val="ListParagraph"/>
        <w:numPr>
          <w:ilvl w:val="0"/>
          <w:numId w:val="2"/>
        </w:numPr>
        <w:spacing w:after="60" w:before="60"/>
      </w:pPr>
      <w:r>
        <w:rPr>
          <w:rFonts w:ascii="Arial" w:cs="Arial" w:eastAsia="Arial" w:hAnsi="Arial"/>
          <w:sz w:val="22"/>
          <w:szCs w:val="22"/>
        </w:rPr>
        <w:t xml:space="preserve">Incorporar variables adicionales relevantes para el contexto dominicano, como el acceso a internet en el hogar, la distancia al centro educativo y la participación en programas de apoyo como Superate o PNUD.</w:t>
      </w:r>
    </w:p>
    <w:p>
      <w:pPr>
        <w:pStyle w:val="ListParagraph"/>
        <w:numPr>
          <w:ilvl w:val="0"/>
          <w:numId w:val="2"/>
        </w:numPr>
        <w:spacing w:after="60" w:before="60"/>
      </w:pPr>
      <w:r>
        <w:rPr>
          <w:rFonts w:ascii="Arial" w:cs="Arial" w:eastAsia="Arial" w:hAnsi="Arial"/>
          <w:sz w:val="22"/>
          <w:szCs w:val="22"/>
        </w:rPr>
        <w:t xml:space="preserve">Explorar modelos de mayor complejidad como Random Forest o redes neuronales para evaluar si ofrecen mejoras sustanciales.</w:t>
      </w:r>
    </w:p>
    <w:p>
      <w:pPr>
        <w:pStyle w:val="ListParagraph"/>
        <w:numPr>
          <w:ilvl w:val="0"/>
          <w:numId w:val="2"/>
        </w:numPr>
        <w:spacing w:after="60" w:before="60"/>
      </w:pPr>
      <w:r>
        <w:rPr>
          <w:rFonts w:ascii="Arial" w:cs="Arial" w:eastAsia="Arial" w:hAnsi="Arial"/>
          <w:sz w:val="22"/>
          <w:szCs w:val="22"/>
        </w:rPr>
        <w:t xml:space="preserve">Desarrollar un prototipo funcional de sistema de alerta temprana integrado con el Sistema de Información de la Gestión Educativa (SIGERD) del MINERD o con plataformas LMS utilizadas en instituciones dominicanas como Moodle o Canvas.</w:t>
      </w:r>
    </w:p>
    <w:p>
      <w:pPr>
        <w:pStyle w:val="ListParagraph"/>
        <w:numPr>
          <w:ilvl w:val="0"/>
          <w:numId w:val="2"/>
        </w:numPr>
        <w:spacing w:after="60" w:before="60"/>
      </w:pPr>
      <w:r>
        <w:rPr>
          <w:rFonts w:ascii="Arial" w:cs="Arial" w:eastAsia="Arial" w:hAnsi="Arial"/>
          <w:sz w:val="22"/>
          <w:szCs w:val="22"/>
        </w:rPr>
        <w:t xml:space="preserve">Diseñar un programa piloto en colaboración con el MINERD para validar el sistema en centros educativos del país, con especial atención a las regiones con mayores tasas de reprobación.</w:t>
      </w:r>
    </w:p>
    <w:p>
      <w:pPr>
        <w:spacing w:after="120" w:before="100"/>
      </w:pPr>
      <w:r>
        <w:rPr>
          <w:rFonts w:ascii="Arial" w:cs="Arial" w:eastAsia="Arial" w:hAnsi="Arial"/>
          <w:sz w:val="22"/>
          <w:szCs w:val="22"/>
        </w:rPr>
        <w:t xml:space="preserve">En conclusión, este proyecto demuestra que la inteligencia artificial, aplicada con rigor metodológico y responsabilidad ética, puede ser una aliada poderosa de los educadores dominicanos en su misión de garantizar que cada estudiante reciba el apoyo que necesita para alcanzar su potencial académico.</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9. Referencias Bibliográficas</w:t>
      </w:r>
    </w:p>
    <w:p>
      <w:pPr>
        <w:spacing w:after="120" w:before="100"/>
      </w:pPr>
      <w:r>
        <w:rPr>
          <w:rFonts w:ascii="Arial" w:cs="Arial" w:eastAsia="Arial" w:hAnsi="Arial"/>
          <w:sz w:val="22"/>
          <w:szCs w:val="22"/>
        </w:rPr>
        <w:t xml:space="preserve">Baker, R. S., &amp; Inventado, P. S. (2014). Educational data mining and learning analytics. En J. A. Larusson &amp; B. White (Eds.), Learning analytics: From research to practice (pp. 61-75). Springer.</w:t>
      </w:r>
    </w:p>
    <w:p>
      <w:pPr>
        <w:spacing w:after="120" w:before="100"/>
      </w:pPr>
      <w:r>
        <w:rPr>
          <w:rFonts w:ascii="Arial" w:cs="Arial" w:eastAsia="Arial" w:hAnsi="Arial"/>
          <w:sz w:val="22"/>
          <w:szCs w:val="22"/>
        </w:rPr>
        <w:t xml:space="preserve">Breiman, L. (2001). Random forests. Machine Learning, 45(1), 5-32.</w:t>
      </w:r>
    </w:p>
    <w:p>
      <w:pPr>
        <w:spacing w:after="120" w:before="100"/>
      </w:pPr>
      <w:r>
        <w:rPr>
          <w:rFonts w:ascii="Arial" w:cs="Arial" w:eastAsia="Arial" w:hAnsi="Arial"/>
          <w:sz w:val="22"/>
          <w:szCs w:val="22"/>
        </w:rPr>
        <w:t xml:space="preserve">Cortez, P., &amp; Silva, A. M. G. (2008). Using data mining to predict secondary school student performance. En A. Brito &amp; J. Teixeira (Eds.), Proceedings of the 5th Annual Future Business Technology Conference (pp. 5-12). EUROSIS.</w:t>
      </w:r>
    </w:p>
    <w:p>
      <w:pPr>
        <w:spacing w:after="120" w:before="100"/>
      </w:pPr>
      <w:r>
        <w:rPr>
          <w:rFonts w:ascii="Arial" w:cs="Arial" w:eastAsia="Arial" w:hAnsi="Arial"/>
          <w:sz w:val="22"/>
          <w:szCs w:val="22"/>
        </w:rPr>
        <w:t xml:space="preserve">Ekowo, M., &amp; Palmer, I. (2016). The promise and peril of predictive analytics in higher education: A landscape analysis. New America Foundation.</w:t>
      </w:r>
    </w:p>
    <w:p>
      <w:pPr>
        <w:spacing w:after="120" w:before="100"/>
      </w:pPr>
      <w:r>
        <w:rPr>
          <w:rFonts w:ascii="Arial" w:cs="Arial" w:eastAsia="Arial" w:hAnsi="Arial"/>
          <w:sz w:val="22"/>
          <w:szCs w:val="22"/>
        </w:rPr>
        <w:t xml:space="preserve">Hosmer, D. W., Lemeshow, S., &amp; Sturdivant, R. X. (2013). Applied logistic regression (3rd ed.). Wiley.</w:t>
      </w:r>
    </w:p>
    <w:p>
      <w:pPr>
        <w:spacing w:after="120" w:before="100"/>
      </w:pPr>
      <w:r>
        <w:rPr>
          <w:rFonts w:ascii="Arial" w:cs="Arial" w:eastAsia="Arial" w:hAnsi="Arial"/>
          <w:sz w:val="22"/>
          <w:szCs w:val="22"/>
        </w:rPr>
        <w:t xml:space="preserve">Instituto de Estadística de la UNESCO. (2022). Tasa de repetición escolar en América Latina y el Caribe. Organización de las Naciones Unidas para la Educación, la Ciencia y la Cultura.</w:t>
      </w:r>
    </w:p>
    <w:p>
      <w:pPr>
        <w:spacing w:after="120" w:before="100"/>
      </w:pPr>
      <w:r>
        <w:rPr>
          <w:rFonts w:ascii="Arial" w:cs="Arial" w:eastAsia="Arial" w:hAnsi="Arial"/>
          <w:sz w:val="22"/>
          <w:szCs w:val="22"/>
        </w:rPr>
        <w:t xml:space="preserve">Ministerio de Educación de la República Dominicana (MINERD). (2021). Plan Decenal de Educación 2021-2030. Santo Domingo: MINERD.</w:t>
      </w:r>
    </w:p>
    <w:p>
      <w:pPr>
        <w:spacing w:after="120" w:before="100"/>
      </w:pPr>
      <w:r>
        <w:rPr>
          <w:rFonts w:ascii="Arial" w:cs="Arial" w:eastAsia="Arial" w:hAnsi="Arial"/>
          <w:sz w:val="22"/>
          <w:szCs w:val="22"/>
        </w:rPr>
        <w:t xml:space="preserve">Ministerio de Educación de la República Dominicana (MINERD). (2023). Indicadores del sistema educativo dominicano. Informe anual de estadísticas educativas. Santo Domingo: MINERD.</w:t>
      </w:r>
    </w:p>
    <w:p>
      <w:pPr>
        <w:spacing w:after="120" w:before="100"/>
      </w:pPr>
      <w:r>
        <w:rPr>
          <w:rFonts w:ascii="Arial" w:cs="Arial" w:eastAsia="Arial" w:hAnsi="Arial"/>
          <w:sz w:val="22"/>
          <w:szCs w:val="22"/>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120" w:before="100"/>
      </w:pPr>
      <w:r>
        <w:rPr>
          <w:rFonts w:ascii="Arial" w:cs="Arial" w:eastAsia="Arial" w:hAnsi="Arial"/>
          <w:sz w:val="22"/>
          <w:szCs w:val="22"/>
        </w:rPr>
        <w:t xml:space="preserve">República Dominicana. (1997). Ley General de Educación 66-97. Gaceta Oficial.</w:t>
      </w:r>
    </w:p>
    <w:p>
      <w:pPr>
        <w:spacing w:after="120" w:before="100"/>
      </w:pPr>
      <w:r>
        <w:rPr>
          <w:rFonts w:ascii="Arial" w:cs="Arial" w:eastAsia="Arial" w:hAnsi="Arial"/>
          <w:sz w:val="22"/>
          <w:szCs w:val="22"/>
        </w:rPr>
        <w:t xml:space="preserve">República Dominicana. (2013). Ley 172-13 que instituye el sistema de protección integral de los datos personales. Gaceta Oficial Digital.</w:t>
      </w:r>
    </w:p>
    <w:p>
      <w:pPr>
        <w:spacing w:after="120" w:before="100"/>
      </w:pPr>
      <w:r>
        <w:rPr>
          <w:rFonts w:ascii="Arial" w:cs="Arial" w:eastAsia="Arial" w:hAnsi="Arial"/>
          <w:sz w:val="22"/>
          <w:szCs w:val="22"/>
        </w:rPr>
        <w:t xml:space="preserve">Romero, C., &amp; Ventura, S. (2020). Educational data mining and learning analytics: An updated survey. Wiley Interdisciplinary Reviews: Data Mining and Knowledge Discovery, 10(3), e1355.</w:t>
      </w:r>
    </w:p>
    <w:p>
      <w:pPr>
        <w:spacing w:after="120" w:before="100"/>
      </w:pPr>
      <w:r>
        <w:rPr>
          <w:rFonts w:ascii="Arial" w:cs="Arial" w:eastAsia="Arial" w:hAnsi="Arial"/>
          <w:sz w:val="22"/>
          <w:szCs w:val="22"/>
        </w:rPr>
        <w:t xml:space="preserve">Rosenthal, R., &amp; Jacobson, L. (1968). Pygmalion in the classroom: Teacher expectation and pupils' intellectual development. Holt, Rinehart &amp; Winston.</w:t>
      </w:r>
    </w:p>
    <w:p>
      <w:pPr>
        <w:spacing w:after="120" w:before="100"/>
      </w:pPr>
      <w:r>
        <w:rPr>
          <w:rFonts w:ascii="Arial" w:cs="Arial" w:eastAsia="Arial" w:hAnsi="Arial"/>
          <w:sz w:val="22"/>
          <w:szCs w:val="22"/>
        </w:rPr>
        <w:t xml:space="preserve">Siemens, G., &amp; Long, P. (2011). Penetrating the fog: Analytics in learning and education. EDUCAUSE Review, 46(5), 30-40.</w:t>
      </w:r>
    </w:p>
    <w:p>
      <w:pPr>
        <w:spacing w:after="120" w:before="100"/>
      </w:pPr>
      <w:r>
        <w:rPr>
          <w:rFonts w:ascii="Arial" w:cs="Arial" w:eastAsia="Arial" w:hAnsi="Arial"/>
          <w:sz w:val="22"/>
          <w:szCs w:val="22"/>
        </w:rPr>
        <w:t xml:space="preserve">Witten, I. H., Frank, E., Hall, M. A., &amp; Pal, C. J. (2017). Data mining: Practical machine learning tools and techniques (4th ed.). Morgan Kaufmann.</w:t>
      </w:r>
    </w:p>
    <w:sectPr>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2026-06-10T23:00:50.348Z</dcterms:created>
  <dcterms:modified xsi:type="dcterms:W3CDTF">2026-06-10T23:00:50.364Z</dcterms:modified>
</cp:coreProperties>
</file>

<file path=docProps/custom.xml><?xml version="1.0" encoding="utf-8"?>
<Properties xmlns="http://schemas.openxmlformats.org/officeDocument/2006/custom-properties" xmlns:vt="http://schemas.openxmlformats.org/officeDocument/2006/docPropsVTypes"/>
</file>