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D6B1F6">
      <w:pPr>
        <w:pStyle w:val="2"/>
        <w:jc w:val="both"/>
      </w:pPr>
      <w:bookmarkStart w:id="0" w:name="_Toc195295069"/>
      <w:r>
        <w:t>Тенденции на рынке труда</w:t>
      </w:r>
      <w:bookmarkEnd w:id="0"/>
    </w:p>
    <w:p w14:paraId="3D5D2566">
      <w:pPr>
        <w:spacing w:after="0" w:line="240" w:lineRule="auto"/>
        <w:ind w:firstLine="0"/>
        <w:rPr>
          <w:rFonts w:ascii="Arial Black" w:hAnsi="Arial Black" w:eastAsiaTheme="majorEastAsia" w:cstheme="majorBidi"/>
          <w:i/>
          <w:color w:val="548235" w:themeColor="accent6" w:themeShade="BF"/>
          <w:sz w:val="40"/>
          <w:szCs w:val="32"/>
        </w:rPr>
      </w:pPr>
      <w:r>
        <w:br w:type="page"/>
      </w:r>
    </w:p>
    <w:sdt>
      <w:sdtPr>
        <w:id w:val="778767639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2"/>
          <w:lang w:eastAsia="en-US"/>
        </w:rPr>
      </w:sdtEndPr>
      <w:sdtContent>
        <w:p w14:paraId="2AC1DA5D">
          <w:pPr>
            <w:pStyle w:val="24"/>
            <w:rPr>
              <w:rStyle w:val="18"/>
              <w:i/>
            </w:rPr>
          </w:pPr>
          <w:r>
            <w:rPr>
              <w:rStyle w:val="18"/>
              <w:i/>
            </w:rPr>
            <w:t>Оглавление</w:t>
          </w:r>
        </w:p>
        <w:p w14:paraId="060883AB">
          <w:pPr>
            <w:pStyle w:val="11"/>
            <w:tabs>
              <w:tab w:val="right" w:leader="dot" w:pos="8210"/>
            </w:tabs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"_Toc195295069" </w:instrText>
          </w:r>
          <w:r>
            <w:fldChar w:fldCharType="separate"/>
          </w:r>
          <w:r>
            <w:rPr>
              <w:rStyle w:val="7"/>
            </w:rPr>
            <w:t>Тенденции на рынке труда</w:t>
          </w:r>
          <w:r>
            <w:tab/>
          </w:r>
          <w:r>
            <w:fldChar w:fldCharType="begin"/>
          </w:r>
          <w:r>
            <w:instrText xml:space="preserve"> PAGEREF _Toc195295069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FAFF038">
          <w:pPr>
            <w:pStyle w:val="12"/>
            <w:tabs>
              <w:tab w:val="right" w:leader="dot" w:pos="8210"/>
            </w:tabs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"_Toc195295070" </w:instrText>
          </w:r>
          <w:r>
            <w:fldChar w:fldCharType="separate"/>
          </w:r>
          <w:r>
            <w:rPr>
              <w:rStyle w:val="7"/>
            </w:rPr>
            <w:t>Экономическая активность населения.</w:t>
          </w:r>
          <w:r>
            <w:tab/>
          </w:r>
          <w:r>
            <w:fldChar w:fldCharType="begin"/>
          </w:r>
          <w:r>
            <w:instrText xml:space="preserve"> PAGEREF _Toc195295070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B9F578D">
          <w:pPr>
            <w:pStyle w:val="12"/>
            <w:tabs>
              <w:tab w:val="right" w:leader="dot" w:pos="8210"/>
            </w:tabs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"_Toc195295071" </w:instrText>
          </w:r>
          <w:r>
            <w:fldChar w:fldCharType="separate"/>
          </w:r>
          <w:r>
            <w:rPr>
              <w:rStyle w:val="7"/>
            </w:rPr>
            <w:t>Безработица среди мужчин и женщин.</w:t>
          </w:r>
          <w:r>
            <w:tab/>
          </w:r>
          <w:r>
            <w:fldChar w:fldCharType="begin"/>
          </w:r>
          <w:r>
            <w:instrText xml:space="preserve"> PAGEREF _Toc195295071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AEEB9CD">
          <w:pPr>
            <w:pStyle w:val="12"/>
            <w:tabs>
              <w:tab w:val="right" w:leader="dot" w:pos="8210"/>
            </w:tabs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"_Toc195295072" </w:instrText>
          </w:r>
          <w:r>
            <w:fldChar w:fldCharType="separate"/>
          </w:r>
          <w:r>
            <w:rPr>
              <w:rStyle w:val="7"/>
            </w:rPr>
            <w:t>Занятость, безработица и уровень образования населения.</w:t>
          </w:r>
          <w:r>
            <w:tab/>
          </w:r>
          <w:r>
            <w:fldChar w:fldCharType="begin"/>
          </w:r>
          <w:r>
            <w:instrText xml:space="preserve"> PAGEREF _Toc195295072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0BE95A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47798F57">
      <w:pPr>
        <w:spacing w:after="0" w:line="240" w:lineRule="auto"/>
        <w:ind w:firstLine="0"/>
        <w:rPr>
          <w:rFonts w:asciiTheme="minorHAnsi" w:hAnsiTheme="minorHAnsi" w:eastAsiaTheme="majorEastAsia" w:cstheme="majorBidi"/>
          <w:b/>
          <w:i/>
          <w:color w:val="2F5597" w:themeColor="accent1" w:themeShade="BF"/>
          <w:sz w:val="32"/>
          <w:szCs w:val="26"/>
        </w:rPr>
      </w:pPr>
      <w:bookmarkStart w:id="1" w:name="_Toc195295070"/>
      <w:r>
        <w:br w:type="page"/>
      </w:r>
    </w:p>
    <w:p w14:paraId="5B75F452">
      <w:pPr>
        <w:pStyle w:val="3"/>
        <w:jc w:val="both"/>
      </w:pPr>
      <w:r>
        <w:t>Экономическая активность населения.</w:t>
      </w:r>
      <w:bookmarkEnd w:id="1"/>
    </w:p>
    <w:p w14:paraId="572AD257">
      <w:pPr>
        <w:jc w:val="both"/>
      </w:pPr>
      <w:r>
        <w:t> По данным обследования населения по проблемам занятости, в I квартале 2012г. численность экономически активного населения в возрасте 15-72 лет (занятые + безработные) составила 74,8 млн.человек.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>
      <w:pPr>
        <w:jc w:val="both"/>
      </w:pPr>
      <w:r>
        <w:t>В численности экономически активного населения 69,9 млн.человек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млн.человек, или на 13,3%.</w:t>
      </w:r>
    </w:p>
    <w:p w14:paraId="0B414DA7">
      <w:pPr>
        <w:jc w:val="both"/>
      </w:pPr>
      <w:r>
        <w:rPr>
          <w:lang w:eastAsia="ru-RU"/>
        </w:rPr>
        <w:drawing>
          <wp:inline distT="0" distB="0" distL="0" distR="0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B6BD">
      <w:pPr>
        <w:jc w:val="both"/>
      </w:pPr>
      <w:r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110B5DE9">
      <w:pPr>
        <w:pStyle w:val="3"/>
      </w:pPr>
      <w:bookmarkStart w:id="2" w:name="_Toc195295071"/>
      <w:r>
        <w:t>Безработица среди мужчин и женщин.</w:t>
      </w:r>
      <w:bookmarkEnd w:id="2"/>
    </w:p>
    <w:p w14:paraId="7C1E60AC">
      <w:pPr>
        <w:jc w:val="both"/>
      </w:pPr>
      <w:r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46FAD0E">
      <w:pPr>
        <w:jc w:val="both"/>
      </w:pPr>
      <w:r>
        <w:t>В январе 2012г. уровень безработицы среди мужчин составил 6,9% и был на 0,7 процентного пункта выше уровня безработицы среди женщин</w:t>
      </w:r>
      <w:r>
        <w:rPr>
          <w:rStyle w:val="6"/>
        </w:rPr>
        <w:footnoteReference w:id="0"/>
      </w:r>
      <w:r>
        <w:t xml:space="preserve"> (6,2%).</w:t>
      </w:r>
    </w:p>
    <w:p w14:paraId="5A3F85C4">
      <w:pPr>
        <w:ind w:firstLine="0"/>
        <w:jc w:val="both"/>
      </w:pPr>
      <w:r>
        <w:rPr>
          <w:lang w:eastAsia="ru-RU"/>
        </w:rPr>
        <w:drawing>
          <wp:inline distT="0" distB="0" distL="0" distR="0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>
      <w:pPr>
        <w:jc w:val="both"/>
      </w:pPr>
      <w:r>
        <w:t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>
      <w:pPr>
        <w:jc w:val="both"/>
      </w:pPr>
      <w:r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6CB6BCFD">
      <w:pPr>
        <w:pStyle w:val="3"/>
      </w:pPr>
      <w:bookmarkStart w:id="3" w:name="_Toc195295072"/>
      <w:r>
        <w:t>Занятость, безработица и уровень образования населения.</w:t>
      </w:r>
      <w:bookmarkEnd w:id="3"/>
    </w:p>
    <w:p w14:paraId="397D1C90">
      <w:pPr>
        <w:jc w:val="both"/>
      </w:pPr>
      <w:r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>
      <w:pPr>
        <w:jc w:val="both"/>
      </w:pPr>
      <w:r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>
      <w:pPr>
        <w:jc w:val="both"/>
      </w:pPr>
      <w:r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>
      <w:pPr>
        <w:jc w:val="both"/>
      </w:pPr>
    </w:p>
    <w:p w14:paraId="2CCCE707">
      <w:pPr>
        <w:jc w:val="both"/>
      </w:pPr>
      <w:r>
        <w:t>Статистические да</w:t>
      </w:r>
      <w:r>
        <w:rPr>
          <w:lang w:eastAsia="ru-RU"/>
        </w:rPr>
        <w:drawing>
          <wp:inline distT="0" distB="0" distL="0" distR="0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</w:t>
      </w:r>
      <w:r>
        <w:rPr>
          <w:rStyle w:val="6"/>
        </w:rPr>
        <w:footnoteReference w:id="1"/>
      </w:r>
      <w:r>
        <w:t> составил 81,5%, уровень безработицы</w:t>
      </w:r>
      <w:r>
        <w:rPr>
          <w:rStyle w:val="6"/>
        </w:rPr>
        <w:footnoteReference w:id="2"/>
      </w:r>
      <w:r>
        <w:t xml:space="preserve"> - 3,6%, со средним профессиональным образованием соответственно 73,7% и 5,1%, начальным профессиональным образованием - 73,2% и 6,7%.</w:t>
      </w:r>
    </w:p>
    <w:p w14:paraId="4A84DC1C">
      <w:pPr>
        <w:jc w:val="both"/>
      </w:pPr>
      <w:r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>
      <w:pPr>
        <w:jc w:val="both"/>
      </w:pPr>
      <w:r>
        <w:rPr>
          <w:lang w:eastAsia="ru-RU"/>
        </w:rPr>
        <w:drawing>
          <wp:inline distT="0" distB="0" distL="0" distR="0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5CD2">
      <w:pPr>
        <w:jc w:val="both"/>
      </w:pPr>
      <w:r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7A2D7BB6">
      <w:pPr>
        <w:jc w:val="both"/>
      </w:pPr>
      <w:r>
        <w:t>Таблица 1. Экономическая активность населения в возрасте 15-72 лет, имеющего профессиональное образование, по профессиям и специальностям по диплому в 2011 году.</w:t>
      </w:r>
    </w:p>
    <w:p w14:paraId="76E980BD">
      <w:pPr>
        <w:spacing w:after="0" w:line="240" w:lineRule="auto"/>
        <w:ind w:firstLine="0"/>
      </w:pPr>
      <w:r>
        <w:br w:type="page"/>
      </w:r>
    </w:p>
    <w:p w14:paraId="2D4D6D8C">
      <w:pPr>
        <w:jc w:val="both"/>
        <w:sectPr>
          <w:footerReference r:id="rId5" w:type="default"/>
          <w:pgSz w:w="11906" w:h="16838"/>
          <w:pgMar w:top="1134" w:right="1985" w:bottom="1134" w:left="1701" w:header="708" w:footer="708" w:gutter="0"/>
          <w:cols w:space="708" w:num="1"/>
          <w:titlePg/>
          <w:docGrid w:linePitch="381" w:charSpace="0"/>
        </w:sectPr>
      </w:pPr>
    </w:p>
    <w:tbl>
      <w:tblPr>
        <w:tblStyle w:val="20"/>
        <w:tblpPr w:leftFromText="180" w:rightFromText="180" w:vertAnchor="text" w:horzAnchor="page" w:tblpX="1288" w:tblpY="-1702"/>
        <w:tblW w:w="1425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FFFFFF" w:themeColor="background1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608"/>
        <w:gridCol w:w="1699"/>
        <w:gridCol w:w="2226"/>
        <w:gridCol w:w="1339"/>
        <w:gridCol w:w="3619"/>
      </w:tblGrid>
      <w:tr w14:paraId="7D1FEC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47" w:type="pct"/>
            <w:vMerge w:val="restart"/>
            <w:shd w:val="clear" w:color="auto" w:fill="BDD6EE" w:themeFill="accent5" w:themeFillTint="66"/>
          </w:tcPr>
          <w:p w14:paraId="48BBA237">
            <w:pPr>
              <w:spacing w:after="0" w:line="240" w:lineRule="auto"/>
              <w:ind w:firstLine="0"/>
              <w:jc w:val="both"/>
              <w:rPr>
                <w:b/>
                <w:bCs/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 </w:t>
            </w:r>
          </w:p>
        </w:tc>
        <w:tc>
          <w:tcPr>
            <w:tcW w:w="992" w:type="pct"/>
            <w:vMerge w:val="restart"/>
            <w:shd w:val="clear" w:color="auto" w:fill="BDD6EE" w:themeFill="accent5" w:themeFillTint="66"/>
          </w:tcPr>
          <w:p w14:paraId="614AFEB5">
            <w:pPr>
              <w:spacing w:after="0" w:line="240" w:lineRule="auto"/>
              <w:jc w:val="both"/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Экономически активное население, тыс.человек</w:t>
            </w:r>
          </w:p>
        </w:tc>
        <w:tc>
          <w:tcPr>
            <w:tcW w:w="1531" w:type="pct"/>
            <w:gridSpan w:val="2"/>
            <w:shd w:val="clear" w:color="auto" w:fill="BDD6EE" w:themeFill="accent5" w:themeFillTint="66"/>
          </w:tcPr>
          <w:p w14:paraId="151A40B8">
            <w:pPr>
              <w:spacing w:after="0" w:line="240" w:lineRule="auto"/>
              <w:jc w:val="both"/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В том числе</w:t>
            </w:r>
          </w:p>
        </w:tc>
        <w:tc>
          <w:tcPr>
            <w:tcW w:w="84" w:type="pct"/>
            <w:vMerge w:val="restart"/>
            <w:shd w:val="clear" w:color="auto" w:fill="BDD6EE" w:themeFill="accent5" w:themeFillTint="66"/>
          </w:tcPr>
          <w:p w14:paraId="2B3199F4">
            <w:pPr>
              <w:spacing w:after="0" w:line="240" w:lineRule="auto"/>
              <w:jc w:val="both"/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Уровень занятости, </w:t>
            </w: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%</w:t>
            </w:r>
          </w:p>
        </w:tc>
        <w:tc>
          <w:tcPr>
            <w:tcW w:w="1346" w:type="pct"/>
            <w:vMerge w:val="restart"/>
            <w:shd w:val="clear" w:color="auto" w:fill="BDD6EE" w:themeFill="accent5" w:themeFillTint="66"/>
          </w:tcPr>
          <w:p w14:paraId="28EBE794">
            <w:pPr>
              <w:spacing w:after="0" w:line="240" w:lineRule="auto"/>
              <w:jc w:val="both"/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Уровень безработицы,</w:t>
            </w: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b/>
                <w:bCs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%</w:t>
            </w:r>
          </w:p>
        </w:tc>
      </w:tr>
      <w:tr w14:paraId="2419CE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</w:trPr>
        <w:tc>
          <w:tcPr>
            <w:tcW w:w="1047" w:type="pct"/>
            <w:vMerge w:val="continue"/>
            <w:shd w:val="clear" w:color="auto" w:fill="2E75B5" w:themeFill="accent5" w:themeFillShade="BF"/>
          </w:tcPr>
          <w:p w14:paraId="4CC50053">
            <w:pPr>
              <w:spacing w:after="0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92" w:type="pct"/>
            <w:vMerge w:val="continue"/>
            <w:shd w:val="clear" w:color="auto" w:fill="ADCDEA" w:themeFill="accent5" w:themeFillTint="7F"/>
          </w:tcPr>
          <w:p w14:paraId="3CAA6078">
            <w:pPr>
              <w:spacing w:after="0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7" w:type="pct"/>
            <w:shd w:val="clear" w:color="auto" w:fill="ADCDEA" w:themeFill="accent5" w:themeFillTint="7F"/>
          </w:tcPr>
          <w:p w14:paraId="6F43C025">
            <w:pPr>
              <w:spacing w:after="0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занятые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152F4281">
            <w:pPr>
              <w:spacing w:after="0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безработные</w:t>
            </w:r>
          </w:p>
        </w:tc>
        <w:tc>
          <w:tcPr>
            <w:tcW w:w="84" w:type="pct"/>
            <w:vMerge w:val="continue"/>
            <w:shd w:val="clear" w:color="auto" w:fill="ADCDEA" w:themeFill="accent5" w:themeFillTint="7F"/>
          </w:tcPr>
          <w:p w14:paraId="51171A77">
            <w:pPr>
              <w:spacing w:after="0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46" w:type="pct"/>
            <w:vMerge w:val="continue"/>
            <w:shd w:val="clear" w:color="auto" w:fill="ADCDEA" w:themeFill="accent5" w:themeFillTint="7F"/>
          </w:tcPr>
          <w:p w14:paraId="7E5F2BA2">
            <w:pPr>
              <w:spacing w:after="0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2B98A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1047" w:type="pct"/>
            <w:shd w:val="clear" w:color="auto" w:fill="2E75B5" w:themeFill="accent5" w:themeFillShade="BF"/>
          </w:tcPr>
          <w:p w14:paraId="0D2620AB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Всего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0ABFFD6B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75752,0</w:t>
            </w:r>
          </w:p>
        </w:tc>
        <w:tc>
          <w:tcPr>
            <w:tcW w:w="667" w:type="pct"/>
            <w:shd w:val="clear" w:color="auto" w:fill="DEEAF6" w:themeFill="accent5" w:themeFillTint="33"/>
          </w:tcPr>
          <w:p w14:paraId="02699551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70731,8</w:t>
            </w:r>
          </w:p>
        </w:tc>
        <w:tc>
          <w:tcPr>
            <w:tcW w:w="864" w:type="pct"/>
            <w:shd w:val="clear" w:color="auto" w:fill="DEEAF6" w:themeFill="accent5" w:themeFillTint="33"/>
          </w:tcPr>
          <w:p w14:paraId="2791F4AE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5020,2</w:t>
            </w:r>
          </w:p>
        </w:tc>
        <w:tc>
          <w:tcPr>
            <w:tcW w:w="84" w:type="pct"/>
            <w:shd w:val="clear" w:color="auto" w:fill="DEEAF6" w:themeFill="accent5" w:themeFillTint="33"/>
          </w:tcPr>
          <w:p w14:paraId="25649028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63,8</w:t>
            </w:r>
          </w:p>
        </w:tc>
        <w:tc>
          <w:tcPr>
            <w:tcW w:w="1346" w:type="pct"/>
            <w:shd w:val="clear" w:color="auto" w:fill="DEEAF6" w:themeFill="accent5" w:themeFillTint="33"/>
          </w:tcPr>
          <w:p w14:paraId="1DFB09F4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6,6</w:t>
            </w:r>
          </w:p>
        </w:tc>
      </w:tr>
      <w:tr w14:paraId="19C1DE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4" w:hRule="atLeast"/>
        </w:trPr>
        <w:tc>
          <w:tcPr>
            <w:tcW w:w="1047" w:type="pct"/>
            <w:shd w:val="clear" w:color="auto" w:fill="2E75B5" w:themeFill="accent5" w:themeFillShade="BF"/>
          </w:tcPr>
          <w:p w14:paraId="630A72DA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в том числе по уровню образования: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высшее и послевузовское 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профессиональное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22E50B22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21671,9</w:t>
            </w:r>
          </w:p>
        </w:tc>
        <w:tc>
          <w:tcPr>
            <w:tcW w:w="667" w:type="pct"/>
            <w:shd w:val="clear" w:color="auto" w:fill="ADCDEA" w:themeFill="accent5" w:themeFillTint="7F"/>
          </w:tcPr>
          <w:p w14:paraId="47E8ED72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20887,6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4DE9FCF0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784,3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24996AD1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81,5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2CA38F6C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3,6</w:t>
            </w:r>
          </w:p>
        </w:tc>
      </w:tr>
      <w:tr w14:paraId="240B4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</w:tblPrEx>
        <w:trPr>
          <w:trHeight w:val="929" w:hRule="atLeast"/>
        </w:trPr>
        <w:tc>
          <w:tcPr>
            <w:tcW w:w="1047" w:type="pct"/>
            <w:shd w:val="clear" w:color="auto" w:fill="2E75B5" w:themeFill="accent5" w:themeFillShade="BF"/>
          </w:tcPr>
          <w:p w14:paraId="3D782A0C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из них по группам специальностей: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45F1DE4F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7" w:type="pct"/>
            <w:shd w:val="clear" w:color="auto" w:fill="DEEAF6" w:themeFill="accent5" w:themeFillTint="33"/>
          </w:tcPr>
          <w:p w14:paraId="6AEA4F45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64" w:type="pct"/>
            <w:shd w:val="clear" w:color="auto" w:fill="DEEAF6" w:themeFill="accent5" w:themeFillTint="33"/>
          </w:tcPr>
          <w:p w14:paraId="39EFEA5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" w:type="pct"/>
            <w:shd w:val="clear" w:color="auto" w:fill="DEEAF6" w:themeFill="accent5" w:themeFillTint="33"/>
          </w:tcPr>
          <w:p w14:paraId="43FE41E8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46" w:type="pct"/>
            <w:shd w:val="clear" w:color="auto" w:fill="DEEAF6" w:themeFill="accent5" w:themeFillTint="33"/>
          </w:tcPr>
          <w:p w14:paraId="0C333880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E3E6F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1047" w:type="pct"/>
            <w:shd w:val="clear" w:color="auto" w:fill="2E75B5" w:themeFill="accent5" w:themeFillShade="BF"/>
          </w:tcPr>
          <w:p w14:paraId="6034610A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экономика и управление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547BA41C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5513,6</w:t>
            </w:r>
          </w:p>
        </w:tc>
        <w:tc>
          <w:tcPr>
            <w:tcW w:w="667" w:type="pct"/>
            <w:shd w:val="clear" w:color="auto" w:fill="ADCDEA" w:themeFill="accent5" w:themeFillTint="7F"/>
          </w:tcPr>
          <w:p w14:paraId="26539A18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5267,4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704B4EF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246,2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1421B8DF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82,9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6CBDF3C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4,5</w:t>
            </w:r>
          </w:p>
        </w:tc>
      </w:tr>
      <w:tr w14:paraId="7A56C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047" w:type="pct"/>
            <w:shd w:val="clear" w:color="auto" w:fill="2E75B5" w:themeFill="accent5" w:themeFillShade="BF"/>
          </w:tcPr>
          <w:p w14:paraId="4C517A1B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образование и педогогика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6CC62C7B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3769,0</w:t>
            </w:r>
          </w:p>
        </w:tc>
        <w:tc>
          <w:tcPr>
            <w:tcW w:w="667" w:type="pct"/>
            <w:shd w:val="clear" w:color="auto" w:fill="DEEAF6" w:themeFill="accent5" w:themeFillTint="33"/>
          </w:tcPr>
          <w:p w14:paraId="09A56040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3643,3</w:t>
            </w:r>
          </w:p>
        </w:tc>
        <w:tc>
          <w:tcPr>
            <w:tcW w:w="864" w:type="pct"/>
            <w:shd w:val="clear" w:color="auto" w:fill="DEEAF6" w:themeFill="accent5" w:themeFillTint="33"/>
          </w:tcPr>
          <w:p w14:paraId="286A2A94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125,8</w:t>
            </w:r>
          </w:p>
        </w:tc>
        <w:tc>
          <w:tcPr>
            <w:tcW w:w="84" w:type="pct"/>
            <w:shd w:val="clear" w:color="auto" w:fill="DEEAF6" w:themeFill="accent5" w:themeFillTint="33"/>
          </w:tcPr>
          <w:p w14:paraId="0BF03381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78,5</w:t>
            </w:r>
          </w:p>
        </w:tc>
        <w:tc>
          <w:tcPr>
            <w:tcW w:w="1346" w:type="pct"/>
            <w:shd w:val="clear" w:color="auto" w:fill="DEEAF6" w:themeFill="accent5" w:themeFillTint="33"/>
          </w:tcPr>
          <w:p w14:paraId="18F49722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3,3</w:t>
            </w:r>
          </w:p>
        </w:tc>
      </w:tr>
      <w:tr w14:paraId="0F1A1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1047" w:type="pct"/>
            <w:shd w:val="clear" w:color="auto" w:fill="2E75B5" w:themeFill="accent5" w:themeFillShade="BF"/>
          </w:tcPr>
          <w:p w14:paraId="6D3057CF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гуманитарные науки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72A59576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2514,1</w:t>
            </w:r>
          </w:p>
        </w:tc>
        <w:tc>
          <w:tcPr>
            <w:tcW w:w="667" w:type="pct"/>
            <w:shd w:val="clear" w:color="auto" w:fill="ADCDEA" w:themeFill="accent5" w:themeFillTint="7F"/>
          </w:tcPr>
          <w:p w14:paraId="5563B40C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2401,8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6CFF04A7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112,3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0E6261C6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83,5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6F4D9A01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4,5</w:t>
            </w:r>
          </w:p>
        </w:tc>
      </w:tr>
      <w:tr w14:paraId="59C857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</w:trPr>
        <w:tc>
          <w:tcPr>
            <w:tcW w:w="1047" w:type="pct"/>
            <w:shd w:val="clear" w:color="auto" w:fill="2E75B5" w:themeFill="accent5" w:themeFillShade="BF"/>
          </w:tcPr>
          <w:p w14:paraId="7707E62D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здравоохранение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051642E3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1388,2</w:t>
            </w:r>
          </w:p>
        </w:tc>
        <w:tc>
          <w:tcPr>
            <w:tcW w:w="667" w:type="pct"/>
            <w:shd w:val="clear" w:color="auto" w:fill="DEEAF6" w:themeFill="accent5" w:themeFillTint="33"/>
          </w:tcPr>
          <w:p w14:paraId="4210BFB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1371,7</w:t>
            </w:r>
          </w:p>
        </w:tc>
        <w:tc>
          <w:tcPr>
            <w:tcW w:w="864" w:type="pct"/>
            <w:shd w:val="clear" w:color="auto" w:fill="DEEAF6" w:themeFill="accent5" w:themeFillTint="33"/>
          </w:tcPr>
          <w:p w14:paraId="1798246E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16,5</w:t>
            </w:r>
          </w:p>
        </w:tc>
        <w:tc>
          <w:tcPr>
            <w:tcW w:w="84" w:type="pct"/>
            <w:shd w:val="clear" w:color="auto" w:fill="DEEAF6" w:themeFill="accent5" w:themeFillTint="33"/>
          </w:tcPr>
          <w:p w14:paraId="42BA4BFB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84,0</w:t>
            </w:r>
          </w:p>
        </w:tc>
        <w:tc>
          <w:tcPr>
            <w:tcW w:w="1346" w:type="pct"/>
            <w:shd w:val="clear" w:color="auto" w:fill="DEEAF6" w:themeFill="accent5" w:themeFillTint="33"/>
          </w:tcPr>
          <w:p w14:paraId="0001A29F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1,2</w:t>
            </w:r>
          </w:p>
        </w:tc>
      </w:tr>
      <w:tr w14:paraId="7881A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047" w:type="pct"/>
            <w:shd w:val="clear" w:color="auto" w:fill="2E75B5" w:themeFill="accent5" w:themeFillShade="BF"/>
          </w:tcPr>
          <w:p w14:paraId="75CBC3E7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строительство и архитектура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25276311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1148,2</w:t>
            </w:r>
          </w:p>
        </w:tc>
        <w:tc>
          <w:tcPr>
            <w:tcW w:w="667" w:type="pct"/>
            <w:shd w:val="clear" w:color="auto" w:fill="ADCDEA" w:themeFill="accent5" w:themeFillTint="7F"/>
          </w:tcPr>
          <w:p w14:paraId="73103740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1112,3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5024754E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36,0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21B51046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81,5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3A3E063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3,1</w:t>
            </w:r>
          </w:p>
        </w:tc>
      </w:tr>
      <w:tr w14:paraId="10D73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</w:trPr>
        <w:tc>
          <w:tcPr>
            <w:tcW w:w="1047" w:type="pct"/>
            <w:shd w:val="clear" w:color="auto" w:fill="2E75B5" w:themeFill="accent5" w:themeFillShade="BF"/>
          </w:tcPr>
          <w:p w14:paraId="21CDE945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энергетика, энергетическое 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машиностроение и 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электротехника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737ABE86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865,3</w:t>
            </w:r>
          </w:p>
        </w:tc>
        <w:tc>
          <w:tcPr>
            <w:tcW w:w="667" w:type="pct"/>
            <w:shd w:val="clear" w:color="auto" w:fill="DEEAF6" w:themeFill="accent5" w:themeFillTint="33"/>
          </w:tcPr>
          <w:p w14:paraId="46EC1F4D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842,7</w:t>
            </w:r>
          </w:p>
        </w:tc>
        <w:tc>
          <w:tcPr>
            <w:tcW w:w="864" w:type="pct"/>
            <w:shd w:val="clear" w:color="auto" w:fill="DEEAF6" w:themeFill="accent5" w:themeFillTint="33"/>
          </w:tcPr>
          <w:p w14:paraId="6B79BA4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22,6</w:t>
            </w:r>
          </w:p>
        </w:tc>
        <w:tc>
          <w:tcPr>
            <w:tcW w:w="84" w:type="pct"/>
            <w:shd w:val="clear" w:color="auto" w:fill="DEEAF6" w:themeFill="accent5" w:themeFillTint="33"/>
          </w:tcPr>
          <w:p w14:paraId="37ECA99C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83,6</w:t>
            </w:r>
          </w:p>
        </w:tc>
        <w:tc>
          <w:tcPr>
            <w:tcW w:w="1346" w:type="pct"/>
            <w:shd w:val="clear" w:color="auto" w:fill="DEEAF6" w:themeFill="accent5" w:themeFillTint="33"/>
          </w:tcPr>
          <w:p w14:paraId="0D33A1E9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2,6</w:t>
            </w:r>
          </w:p>
        </w:tc>
      </w:tr>
      <w:tr w14:paraId="18D31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1047" w:type="pct"/>
            <w:shd w:val="clear" w:color="auto" w:fill="2E75B5" w:themeFill="accent5" w:themeFillShade="BF"/>
          </w:tcPr>
          <w:p w14:paraId="2AAABE3B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сельское и рыбное хозяйство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7350B7A5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746,5</w:t>
            </w:r>
          </w:p>
        </w:tc>
        <w:tc>
          <w:tcPr>
            <w:tcW w:w="667" w:type="pct"/>
            <w:shd w:val="clear" w:color="auto" w:fill="ADCDEA" w:themeFill="accent5" w:themeFillTint="7F"/>
          </w:tcPr>
          <w:p w14:paraId="7AA22974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711,4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3A1D325D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35,0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0D21F0EE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77,0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6A249773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4,7</w:t>
            </w:r>
          </w:p>
        </w:tc>
      </w:tr>
      <w:tr w14:paraId="687E3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9" w:hRule="atLeast"/>
        </w:trPr>
        <w:tc>
          <w:tcPr>
            <w:tcW w:w="1047" w:type="pct"/>
            <w:shd w:val="clear" w:color="auto" w:fill="2E75B5" w:themeFill="accent5" w:themeFillShade="BF"/>
          </w:tcPr>
          <w:p w14:paraId="7450B66C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металлургия, машиностроение и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материалообработка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57734B0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705,7</w:t>
            </w:r>
          </w:p>
        </w:tc>
        <w:tc>
          <w:tcPr>
            <w:tcW w:w="667" w:type="pct"/>
            <w:shd w:val="clear" w:color="auto" w:fill="DEEAF6" w:themeFill="accent5" w:themeFillTint="33"/>
          </w:tcPr>
          <w:p w14:paraId="7D129792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684,8</w:t>
            </w:r>
          </w:p>
        </w:tc>
        <w:tc>
          <w:tcPr>
            <w:tcW w:w="864" w:type="pct"/>
            <w:shd w:val="clear" w:color="auto" w:fill="DEEAF6" w:themeFill="accent5" w:themeFillTint="33"/>
          </w:tcPr>
          <w:p w14:paraId="4D4DAD2E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20,9</w:t>
            </w:r>
          </w:p>
        </w:tc>
        <w:tc>
          <w:tcPr>
            <w:tcW w:w="84" w:type="pct"/>
            <w:shd w:val="clear" w:color="auto" w:fill="DEEAF6" w:themeFill="accent5" w:themeFillTint="33"/>
          </w:tcPr>
          <w:p w14:paraId="37F9A257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79,2</w:t>
            </w:r>
          </w:p>
        </w:tc>
        <w:tc>
          <w:tcPr>
            <w:tcW w:w="1346" w:type="pct"/>
            <w:shd w:val="clear" w:color="auto" w:fill="DEEAF6" w:themeFill="accent5" w:themeFillTint="33"/>
          </w:tcPr>
          <w:p w14:paraId="7ED5BB45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3,0</w:t>
            </w:r>
          </w:p>
        </w:tc>
      </w:tr>
      <w:tr w14:paraId="4A0CA4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1" w:hRule="atLeast"/>
        </w:trPr>
        <w:tc>
          <w:tcPr>
            <w:tcW w:w="1047" w:type="pct"/>
            <w:shd w:val="clear" w:color="auto" w:fill="2E75B5" w:themeFill="accent5" w:themeFillShade="BF"/>
          </w:tcPr>
          <w:p w14:paraId="4C9776A0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информатика и вычислительная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техника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69AEC8D1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588,3</w:t>
            </w:r>
          </w:p>
        </w:tc>
        <w:tc>
          <w:tcPr>
            <w:tcW w:w="667" w:type="pct"/>
            <w:shd w:val="clear" w:color="auto" w:fill="ADCDEA" w:themeFill="accent5" w:themeFillTint="7F"/>
          </w:tcPr>
          <w:p w14:paraId="715ADAF5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575,1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458ECB76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13,2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12203B6C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92,2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799451A2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2,2</w:t>
            </w:r>
          </w:p>
        </w:tc>
      </w:tr>
      <w:tr w14:paraId="618DE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047" w:type="pct"/>
            <w:shd w:val="clear" w:color="auto" w:fill="2E75B5" w:themeFill="accent5" w:themeFillShade="BF"/>
          </w:tcPr>
          <w:p w14:paraId="621FA8F4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транспортные средства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73A193D2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578,8</w:t>
            </w:r>
          </w:p>
        </w:tc>
        <w:tc>
          <w:tcPr>
            <w:tcW w:w="667" w:type="pct"/>
            <w:shd w:val="clear" w:color="auto" w:fill="DEEAF6" w:themeFill="accent5" w:themeFillTint="33"/>
          </w:tcPr>
          <w:p w14:paraId="18B0D0CF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560,8</w:t>
            </w:r>
          </w:p>
        </w:tc>
        <w:tc>
          <w:tcPr>
            <w:tcW w:w="864" w:type="pct"/>
            <w:shd w:val="clear" w:color="auto" w:fill="DEEAF6" w:themeFill="accent5" w:themeFillTint="33"/>
          </w:tcPr>
          <w:p w14:paraId="52474FDE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18,0</w:t>
            </w:r>
          </w:p>
        </w:tc>
        <w:tc>
          <w:tcPr>
            <w:tcW w:w="84" w:type="pct"/>
            <w:shd w:val="clear" w:color="auto" w:fill="DEEAF6" w:themeFill="accent5" w:themeFillTint="33"/>
          </w:tcPr>
          <w:p w14:paraId="14CFDA1B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84,4</w:t>
            </w:r>
          </w:p>
        </w:tc>
        <w:tc>
          <w:tcPr>
            <w:tcW w:w="1346" w:type="pct"/>
            <w:shd w:val="clear" w:color="auto" w:fill="DEEAF6" w:themeFill="accent5" w:themeFillTint="33"/>
          </w:tcPr>
          <w:p w14:paraId="04EF0B37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3,1</w:t>
            </w:r>
          </w:p>
        </w:tc>
      </w:tr>
      <w:tr w14:paraId="4AD5B1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9" w:hRule="atLeast"/>
        </w:trPr>
        <w:tc>
          <w:tcPr>
            <w:tcW w:w="1047" w:type="pct"/>
            <w:shd w:val="clear" w:color="auto" w:fill="2E75B5" w:themeFill="accent5" w:themeFillShade="BF"/>
          </w:tcPr>
          <w:p w14:paraId="1B35025D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физико-математические 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специальности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5BA8602F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447,6</w:t>
            </w:r>
          </w:p>
        </w:tc>
        <w:tc>
          <w:tcPr>
            <w:tcW w:w="667" w:type="pct"/>
            <w:shd w:val="clear" w:color="auto" w:fill="ADCDEA" w:themeFill="accent5" w:themeFillTint="7F"/>
          </w:tcPr>
          <w:p w14:paraId="657EBFF7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437,6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4A975F37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10,0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2C2C9DD1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84,5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46AF36CA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2,2</w:t>
            </w:r>
          </w:p>
        </w:tc>
      </w:tr>
      <w:tr w14:paraId="5134B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" w:hRule="atLeast"/>
        </w:trPr>
        <w:tc>
          <w:tcPr>
            <w:tcW w:w="1047" w:type="pct"/>
            <w:shd w:val="clear" w:color="auto" w:fill="2E75B5" w:themeFill="accent5" w:themeFillShade="BF"/>
          </w:tcPr>
          <w:p w14:paraId="0302D9D1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электронная техника, </w:t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радиотехника и связь</w:t>
            </w:r>
          </w:p>
        </w:tc>
        <w:tc>
          <w:tcPr>
            <w:tcW w:w="992" w:type="pct"/>
            <w:shd w:val="clear" w:color="auto" w:fill="DEEAF6" w:themeFill="accent5" w:themeFillTint="33"/>
          </w:tcPr>
          <w:p w14:paraId="1F6AD8E8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464,3</w:t>
            </w:r>
          </w:p>
        </w:tc>
        <w:tc>
          <w:tcPr>
            <w:tcW w:w="667" w:type="pct"/>
            <w:shd w:val="clear" w:color="auto" w:fill="DEEAF6" w:themeFill="accent5" w:themeFillTint="33"/>
          </w:tcPr>
          <w:p w14:paraId="610FF5AD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450,1</w:t>
            </w:r>
          </w:p>
        </w:tc>
        <w:tc>
          <w:tcPr>
            <w:tcW w:w="864" w:type="pct"/>
            <w:shd w:val="clear" w:color="auto" w:fill="DEEAF6" w:themeFill="accent5" w:themeFillTint="33"/>
          </w:tcPr>
          <w:p w14:paraId="3C50E3EF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14,2</w:t>
            </w:r>
          </w:p>
        </w:tc>
        <w:tc>
          <w:tcPr>
            <w:tcW w:w="84" w:type="pct"/>
            <w:shd w:val="clear" w:color="auto" w:fill="DEEAF6" w:themeFill="accent5" w:themeFillTint="33"/>
          </w:tcPr>
          <w:p w14:paraId="06452BDB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80,9</w:t>
            </w:r>
          </w:p>
        </w:tc>
        <w:tc>
          <w:tcPr>
            <w:tcW w:w="1346" w:type="pct"/>
            <w:shd w:val="clear" w:color="auto" w:fill="DEEAF6" w:themeFill="accent5" w:themeFillTint="33"/>
          </w:tcPr>
          <w:p w14:paraId="26B036D8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3,1</w:t>
            </w:r>
          </w:p>
        </w:tc>
      </w:tr>
      <w:tr w14:paraId="39203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FFFFFF" w:themeColor="background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7" w:hRule="atLeast"/>
        </w:trPr>
        <w:tc>
          <w:tcPr>
            <w:tcW w:w="1047" w:type="pct"/>
            <w:shd w:val="clear" w:color="auto" w:fill="2E75B5" w:themeFill="accent5" w:themeFillShade="BF"/>
          </w:tcPr>
          <w:p w14:paraId="6F7C4F7E">
            <w:pPr>
              <w:spacing w:after="0" w:line="240" w:lineRule="auto"/>
              <w:jc w:val="center"/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2"/>
                <w14:textFill>
                  <w14:solidFill>
                    <w14:schemeClr w14:val="bg1"/>
                  </w14:solidFill>
                </w14:textFill>
              </w:rPr>
              <w:t>культура и искусство</w:t>
            </w:r>
          </w:p>
        </w:tc>
        <w:tc>
          <w:tcPr>
            <w:tcW w:w="992" w:type="pct"/>
            <w:shd w:val="clear" w:color="auto" w:fill="ADCDEA" w:themeFill="accent5" w:themeFillTint="7F"/>
          </w:tcPr>
          <w:p w14:paraId="0F029AAC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423,1</w:t>
            </w:r>
          </w:p>
          <w:p w14:paraId="71F482BC">
            <w:pPr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  <w:p w14:paraId="4C4866B9">
            <w:pPr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7" w:type="pct"/>
            <w:shd w:val="clear" w:color="auto" w:fill="ADCDEA" w:themeFill="accent5" w:themeFillTint="7F"/>
          </w:tcPr>
          <w:p w14:paraId="1099ADF0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410,3</w:t>
            </w:r>
          </w:p>
        </w:tc>
        <w:tc>
          <w:tcPr>
            <w:tcW w:w="864" w:type="pct"/>
            <w:shd w:val="clear" w:color="auto" w:fill="ADCDEA" w:themeFill="accent5" w:themeFillTint="7F"/>
          </w:tcPr>
          <w:p w14:paraId="72B284C9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12,7</w:t>
            </w:r>
          </w:p>
        </w:tc>
        <w:tc>
          <w:tcPr>
            <w:tcW w:w="84" w:type="pct"/>
            <w:shd w:val="clear" w:color="auto" w:fill="ADCDEA" w:themeFill="accent5" w:themeFillTint="7F"/>
          </w:tcPr>
          <w:p w14:paraId="459D007D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80,3</w:t>
            </w:r>
          </w:p>
        </w:tc>
        <w:tc>
          <w:tcPr>
            <w:tcW w:w="1346" w:type="pct"/>
            <w:shd w:val="clear" w:color="auto" w:fill="ADCDEA" w:themeFill="accent5" w:themeFillTint="7F"/>
          </w:tcPr>
          <w:p w14:paraId="3328A3C9">
            <w:pPr>
              <w:spacing w:after="0" w:line="240" w:lineRule="auto"/>
              <w:jc w:val="center"/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3,0</w:t>
            </w:r>
          </w:p>
        </w:tc>
      </w:tr>
    </w:tbl>
    <w:p w14:paraId="187D30D0">
      <w:pPr>
        <w:ind w:firstLine="0"/>
        <w:jc w:val="both"/>
      </w:pPr>
    </w:p>
    <w:p w14:paraId="24989CBF">
      <w:pPr>
        <w:ind w:firstLine="0"/>
        <w:jc w:val="both"/>
      </w:pPr>
    </w:p>
    <w:p w14:paraId="386157B0">
      <w:pPr>
        <w:ind w:firstLine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А вообще мы хотим спать, отпустите с фулл баллом.)</w:t>
      </w:r>
    </w:p>
    <w:p w14:paraId="45B9EC72">
      <w:pPr>
        <w:ind w:firstLine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367530" cy="4367530"/>
            <wp:effectExtent l="0" t="0" r="0" b="0"/>
            <wp:docPr id="5" name="Изображение 5" descr="3aa4c14ef59b31eddcb6dd959f0db6fc-no-bg-preview (carve.photo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3aa4c14ef59b31eddcb6dd959f0db6fc-no-bg-preview (carve.photos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753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>А это жабка к</w:t>
      </w:r>
      <w:bookmarkStart w:id="4" w:name="_GoBack"/>
      <w:bookmarkEnd w:id="4"/>
      <w:r>
        <w:rPr>
          <w:rFonts w:hint="default"/>
          <w:lang w:val="ru-RU"/>
        </w:rPr>
        <w:t>ачек. Для поднятие мотивации.</w:t>
      </w:r>
    </w:p>
    <w:sectPr>
      <w:pgSz w:w="16838" w:h="11906" w:orient="landscape"/>
      <w:pgMar w:top="2268" w:right="1134" w:bottom="1985" w:left="1134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CC"/>
    <w:family w:val="swiss"/>
    <w:pitch w:val="default"/>
    <w:sig w:usb0="A00002AF" w:usb1="400078FB" w:usb2="00000000" w:usb3="00000000" w:csb0="6000009F" w:csb1="DFD70000"/>
  </w:font>
  <w:font w:name="等线 Light">
    <w:altName w:val="A Year Without Rain [RUS by Penka220]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 Year Without Rain [RUS by Penka220]">
    <w:panose1 w:val="02000500000000000000"/>
    <w:charset w:val="00"/>
    <w:family w:val="auto"/>
    <w:pitch w:val="default"/>
    <w:sig w:usb0="A000022F" w:usb1="4000000A" w:usb2="00000000" w:usb3="00000000" w:csb0="00000093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23172076"/>
      <w:docPartObj>
        <w:docPartGallery w:val="AutoText"/>
      </w:docPartObj>
    </w:sdtPr>
    <w:sdtContent>
      <w:p w14:paraId="1DD695BE">
        <w:pPr>
          <w:pStyle w:val="13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48AFCE1C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6">
    <w:p>
      <w:pPr>
        <w:spacing w:before="0" w:after="0" w:line="360" w:lineRule="auto"/>
      </w:pPr>
      <w:r>
        <w:separator/>
      </w:r>
    </w:p>
  </w:footnote>
  <w:footnote w:type="continuationSeparator" w:id="7">
    <w:p>
      <w:pPr>
        <w:spacing w:before="0" w:after="0" w:line="360" w:lineRule="auto"/>
      </w:pPr>
      <w:r>
        <w:continuationSeparator/>
      </w:r>
    </w:p>
  </w:footnote>
  <w:footnote w:id="0">
    <w:p w14:paraId="7DEBADE1">
      <w:pPr>
        <w:pStyle w:val="9"/>
      </w:pPr>
      <w:r>
        <w:rPr>
          <w:rStyle w:val="6"/>
        </w:rPr>
        <w:footnoteRef/>
      </w:r>
      <w:r>
        <w:t xml:space="preserve"> 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1">
    <w:p w14:paraId="7C3FD9EC">
      <w:pPr>
        <w:pStyle w:val="9"/>
      </w:pPr>
      <w:r>
        <w:rPr>
          <w:rStyle w:val="6"/>
        </w:rPr>
        <w:footnoteRef/>
      </w:r>
      <w:r>
        <w:t xml:space="preserve"> 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2">
    <w:p w14:paraId="4FFAB37D">
      <w:r>
        <w:rPr>
          <w:rStyle w:val="6"/>
        </w:rPr>
        <w:footnoteRef/>
      </w:r>
      <w:r>
        <w:rPr>
          <w:sz w:val="20"/>
          <w:szCs w:val="20"/>
        </w:rPr>
        <w:t xml:space="preserve"> 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  <w:p w14:paraId="46A1574E">
      <w:pPr>
        <w:pStyle w:val="9"/>
      </w:pPr>
      <w:r>
        <w:t xml:space="preserve">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drawingGridHorizontalSpacing w:val="110"/>
  <w:displayHorizontalDrawingGridEvery w:val="2"/>
  <w:characterSpacingControl w:val="doNotCompress"/>
  <w:footnotePr>
    <w:footnote w:id="6"/>
    <w:footnote w:id="7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1BCD"/>
    <w:rsid w:val="00022926"/>
    <w:rsid w:val="00061BEF"/>
    <w:rsid w:val="00397155"/>
    <w:rsid w:val="0044781C"/>
    <w:rsid w:val="00453B1C"/>
    <w:rsid w:val="00597EAA"/>
    <w:rsid w:val="005C216B"/>
    <w:rsid w:val="005C7F01"/>
    <w:rsid w:val="00612580"/>
    <w:rsid w:val="009F133D"/>
    <w:rsid w:val="00B31BCD"/>
    <w:rsid w:val="00BB75A3"/>
    <w:rsid w:val="00C22637"/>
    <w:rsid w:val="00C63AAE"/>
    <w:rsid w:val="00DC300F"/>
    <w:rsid w:val="00E15CB2"/>
    <w:rsid w:val="00F7206E"/>
    <w:rsid w:val="00F75A9F"/>
    <w:rsid w:val="00FA50CB"/>
    <w:rsid w:val="00FD1F00"/>
    <w:rsid w:val="56E97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iPriority="73" w:name="Colorful Grid Accent 5"/>
  </w:latentStyles>
  <w:style w:type="paragraph" w:default="1" w:styleId="1">
    <w:name w:val="Normal"/>
    <w:qFormat/>
    <w:uiPriority w:val="0"/>
    <w:pPr>
      <w:spacing w:after="200" w:line="360" w:lineRule="auto"/>
      <w:ind w:firstLine="737"/>
    </w:pPr>
    <w:rPr>
      <w:rFonts w:ascii="Times New Roman" w:hAnsi="Times New Roman" w:eastAsia="Calibri" w:cs="Times New Roman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240" w:after="0"/>
      <w:outlineLvl w:val="0"/>
    </w:pPr>
    <w:rPr>
      <w:rFonts w:ascii="Arial Black" w:hAnsi="Arial Black" w:eastAsiaTheme="majorEastAsia" w:cstheme="majorBidi"/>
      <w:i/>
      <w:color w:val="548235" w:themeColor="accent6" w:themeShade="BF"/>
      <w:sz w:val="40"/>
      <w:szCs w:val="32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40" w:after="0"/>
      <w:outlineLvl w:val="1"/>
    </w:pPr>
    <w:rPr>
      <w:rFonts w:asciiTheme="minorHAnsi" w:hAnsiTheme="minorHAnsi" w:eastAsiaTheme="majorEastAsia" w:cstheme="majorBidi"/>
      <w:b/>
      <w:i/>
      <w:color w:val="2F5597" w:themeColor="accent1" w:themeShade="BF"/>
      <w:sz w:val="32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otnote reference"/>
    <w:basedOn w:val="4"/>
    <w:semiHidden/>
    <w:unhideWhenUsed/>
    <w:qFormat/>
    <w:uiPriority w:val="99"/>
    <w:rPr>
      <w:vertAlign w:val="superscript"/>
    </w:rPr>
  </w:style>
  <w:style w:type="character" w:styleId="7">
    <w:name w:val="Hyperlink"/>
    <w:basedOn w:val="4"/>
    <w:unhideWhenUsed/>
    <w:qFormat/>
    <w:uiPriority w:val="99"/>
    <w:rPr>
      <w:color w:val="0000FF"/>
      <w:u w:val="single"/>
    </w:rPr>
  </w:style>
  <w:style w:type="paragraph" w:styleId="8">
    <w:name w:val="Balloon Text"/>
    <w:basedOn w:val="1"/>
    <w:link w:val="17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9">
    <w:name w:val="footnote text"/>
    <w:basedOn w:val="1"/>
    <w:link w:val="25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0">
    <w:name w:val="header"/>
    <w:basedOn w:val="1"/>
    <w:link w:val="22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2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3">
    <w:name w:val="footer"/>
    <w:basedOn w:val="1"/>
    <w:link w:val="2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table" w:styleId="15">
    <w:name w:val="Table Grid"/>
    <w:basedOn w:val="5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apple-converted-space"/>
    <w:basedOn w:val="4"/>
    <w:qFormat/>
    <w:uiPriority w:val="0"/>
  </w:style>
  <w:style w:type="character" w:customStyle="1" w:styleId="17">
    <w:name w:val="Текст выноски Знак"/>
    <w:basedOn w:val="4"/>
    <w:link w:val="8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8">
    <w:name w:val="Заголовок 1 Знак"/>
    <w:basedOn w:val="4"/>
    <w:link w:val="2"/>
    <w:qFormat/>
    <w:uiPriority w:val="9"/>
    <w:rPr>
      <w:rFonts w:ascii="Arial Black" w:hAnsi="Arial Black" w:eastAsiaTheme="majorEastAsia" w:cstheme="majorBidi"/>
      <w:i/>
      <w:color w:val="548235" w:themeColor="accent6" w:themeShade="BF"/>
      <w:sz w:val="40"/>
      <w:szCs w:val="32"/>
      <w:lang w:eastAsia="en-US"/>
    </w:rPr>
  </w:style>
  <w:style w:type="character" w:customStyle="1" w:styleId="19">
    <w:name w:val="Заголовок 2 Знак"/>
    <w:basedOn w:val="4"/>
    <w:link w:val="3"/>
    <w:qFormat/>
    <w:uiPriority w:val="9"/>
    <w:rPr>
      <w:rFonts w:asciiTheme="minorHAnsi" w:hAnsiTheme="minorHAnsi" w:eastAsiaTheme="majorEastAsia" w:cstheme="majorBidi"/>
      <w:b/>
      <w:i/>
      <w:color w:val="2F5597" w:themeColor="accent1" w:themeShade="BF"/>
      <w:sz w:val="32"/>
      <w:szCs w:val="26"/>
      <w:lang w:eastAsia="en-US"/>
    </w:rPr>
  </w:style>
  <w:style w:type="table" w:customStyle="1" w:styleId="20">
    <w:name w:val="ТХИ"/>
    <w:basedOn w:val="21"/>
    <w:qFormat/>
    <w:uiPriority w:val="99"/>
    <w:rPr>
      <w:sz w:val="22"/>
    </w:rPr>
    <w:tcPr>
      <w:shd w:val="clear" w:color="auto" w:fill="DEEAF6" w:themeFill="accent5" w:themeFillTint="33"/>
    </w:tcPr>
    <w:tblStylePr w:type="firstRow">
      <w:rPr>
        <w:b/>
        <w:bCs/>
      </w:rPr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DD6EE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E75B5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E75B5" w:themeFill="accent5" w:themeFillShade="BF"/>
      </w:tcPr>
    </w:tblStylePr>
    <w:tblStylePr w:type="band1Vert">
      <w:tcPr>
        <w:shd w:val="clear" w:color="auto" w:fill="ADCDEA" w:themeFill="accent5" w:themeFillTint="7F"/>
      </w:tcPr>
    </w:tblStylePr>
    <w:tblStylePr w:type="band1Horz">
      <w:tcPr>
        <w:shd w:val="clear" w:color="auto" w:fill="ADCDEA" w:themeFill="accent5" w:themeFillTint="7F"/>
      </w:tcPr>
    </w:tblStylePr>
  </w:style>
  <w:style w:type="table" w:styleId="21">
    <w:name w:val="Colorful Grid Accent 5"/>
    <w:basedOn w:val="5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</w:rPr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DD6EE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E75B5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E75B5" w:themeFill="accent5" w:themeFillShade="BF"/>
      </w:tcPr>
    </w:tblStylePr>
    <w:tblStylePr w:type="band1Vert">
      <w:tcPr>
        <w:shd w:val="clear" w:color="auto" w:fill="ADCDEA" w:themeFill="accent5" w:themeFillTint="7F"/>
      </w:tcPr>
    </w:tblStylePr>
    <w:tblStylePr w:type="band1Horz">
      <w:tcPr>
        <w:shd w:val="clear" w:color="auto" w:fill="ADCDEA" w:themeFill="accent5" w:themeFillTint="7F"/>
      </w:tcPr>
    </w:tblStylePr>
  </w:style>
  <w:style w:type="character" w:customStyle="1" w:styleId="22">
    <w:name w:val="Верхний колонтитул Знак"/>
    <w:basedOn w:val="4"/>
    <w:link w:val="10"/>
    <w:qFormat/>
    <w:uiPriority w:val="99"/>
    <w:rPr>
      <w:rFonts w:ascii="Times New Roman" w:hAnsi="Times New Roman"/>
      <w:sz w:val="28"/>
      <w:szCs w:val="22"/>
      <w:lang w:eastAsia="en-US"/>
    </w:rPr>
  </w:style>
  <w:style w:type="character" w:customStyle="1" w:styleId="23">
    <w:name w:val="Нижний колонтитул Знак"/>
    <w:basedOn w:val="4"/>
    <w:link w:val="13"/>
    <w:qFormat/>
    <w:uiPriority w:val="99"/>
    <w:rPr>
      <w:rFonts w:ascii="Times New Roman" w:hAnsi="Times New Roman"/>
      <w:sz w:val="28"/>
      <w:szCs w:val="22"/>
      <w:lang w:eastAsia="en-US"/>
    </w:rPr>
  </w:style>
  <w:style w:type="paragraph" w:customStyle="1" w:styleId="24">
    <w:name w:val="TOC Heading"/>
    <w:basedOn w:val="2"/>
    <w:next w:val="1"/>
    <w:unhideWhenUsed/>
    <w:qFormat/>
    <w:uiPriority w:val="39"/>
    <w:pPr>
      <w:spacing w:line="259" w:lineRule="auto"/>
      <w:ind w:firstLine="0"/>
      <w:outlineLvl w:val="9"/>
    </w:pPr>
    <w:rPr>
      <w:rFonts w:asciiTheme="majorHAnsi" w:hAnsiTheme="majorHAnsi"/>
      <w:i w:val="0"/>
      <w:color w:val="2F5597" w:themeColor="accent1" w:themeShade="BF"/>
      <w:sz w:val="32"/>
      <w:lang w:eastAsia="ru-RU"/>
    </w:rPr>
  </w:style>
  <w:style w:type="character" w:customStyle="1" w:styleId="25">
    <w:name w:val="Текст сноски Знак"/>
    <w:basedOn w:val="4"/>
    <w:link w:val="9"/>
    <w:semiHidden/>
    <w:qFormat/>
    <w:uiPriority w:val="99"/>
    <w:rPr>
      <w:rFonts w:ascii="Times New Roman" w:hAnsi="Times New Roman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3D3472-24A2-4E3E-9ED5-125A8C8251B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843</Words>
  <Characters>5260</Characters>
  <Lines>47</Lines>
  <Paragraphs>13</Paragraphs>
  <TotalTime>2</TotalTime>
  <ScaleCrop>false</ScaleCrop>
  <LinksUpToDate>false</LinksUpToDate>
  <CharactersWithSpaces>6014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2025-04-11T11:54:00Z</dcterms:created>
  <dc:creator>Claire</dc:creator>
  <cp:lastModifiedBy>Fallen Crow</cp:lastModifiedBy>
  <dcterms:modified xsi:type="dcterms:W3CDTF">2026-05-16T02:35:38Z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eyJoZGlkIjoiZDA0NDU3M2ZjMTIzYWU5NWQ4NGUzOWUzYjM4YWU5MmYiLCJ1c2VySWQiOiI4NDIzMzg5MjYzNjgifQ==</vt:lpwstr>
  </property>
  <property fmtid="{D5CDD505-2E9C-101B-9397-08002B2CF9AE}" pid="3" name="KSOProductBuildVer">
    <vt:lpwstr>1049-12.1.0.26372</vt:lpwstr>
  </property>
  <property fmtid="{D5CDD505-2E9C-101B-9397-08002B2CF9AE}" pid="4" name="ICV">
    <vt:lpwstr>E67FE84C15304E27916FC8444F7726F3_12</vt:lpwstr>
  </property>
</Properties>
</file>