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90A12">
      <w:pPr>
        <w:jc w:val="center"/>
        <w:rPr>
          <w:rFonts w:hint="eastAsia" w:ascii="微软雅黑" w:hAnsi="微软雅黑" w:eastAsia="微软雅黑" w:cs="微软雅黑"/>
          <w:b/>
          <w:bCs/>
          <w:sz w:val="28"/>
          <w:szCs w:val="36"/>
          <w:lang w:val="en-US" w:eastAsia="zh-CN"/>
        </w:rPr>
      </w:pPr>
      <w:r>
        <w:rPr>
          <w:rFonts w:hint="eastAsia" w:ascii="微软雅黑" w:hAnsi="微软雅黑" w:eastAsia="微软雅黑" w:cs="微软雅黑"/>
          <w:b/>
          <w:bCs/>
          <w:sz w:val="28"/>
          <w:szCs w:val="36"/>
          <w:lang w:val="en-US" w:eastAsia="zh-CN"/>
        </w:rPr>
        <w:t>关于数独赛事推进工作的流程与思考</w:t>
      </w:r>
    </w:p>
    <w:p w14:paraId="3889ABA8">
      <w:pPr>
        <w:rPr>
          <w:rFonts w:hint="eastAsia" w:ascii="微软雅黑" w:hAnsi="微软雅黑" w:eastAsia="微软雅黑" w:cs="微软雅黑"/>
          <w:b/>
          <w:bCs/>
          <w:sz w:val="22"/>
          <w:szCs w:val="28"/>
          <w:lang w:val="en-US" w:eastAsia="zh-CN"/>
        </w:rPr>
      </w:pPr>
      <w:r>
        <w:rPr>
          <w:rFonts w:hint="eastAsia" w:ascii="微软雅黑" w:hAnsi="微软雅黑" w:eastAsia="微软雅黑" w:cs="微软雅黑"/>
          <w:b/>
          <w:bCs/>
          <w:sz w:val="22"/>
          <w:szCs w:val="28"/>
          <w:lang w:val="en-US" w:eastAsia="zh-CN"/>
        </w:rPr>
        <w:t>背景和启动：</w:t>
      </w:r>
    </w:p>
    <w:p w14:paraId="6FD3835D">
      <w:pPr>
        <w:ind w:firstLine="420" w:firstLineChars="200"/>
        <w:rPr>
          <w:rFonts w:hint="eastAsia" w:ascii="微软雅黑" w:hAnsi="微软雅黑" w:eastAsia="微软雅黑" w:cs="微软雅黑"/>
          <w:b w:val="0"/>
          <w:sz w:val="21"/>
          <w:lang w:eastAsia="zh-CN"/>
        </w:rPr>
      </w:pPr>
      <w:r>
        <w:rPr>
          <w:rFonts w:hint="eastAsia" w:ascii="微软雅黑" w:hAnsi="微软雅黑" w:eastAsia="微软雅黑" w:cs="微软雅黑"/>
          <w:lang w:val="en-US" w:eastAsia="zh-CN"/>
        </w:rPr>
        <w:t>结合中秋数独赛事</w:t>
      </w:r>
      <w:r>
        <w:rPr>
          <w:rFonts w:hint="eastAsia" w:ascii="微软雅黑" w:hAnsi="微软雅黑" w:eastAsia="微软雅黑" w:cs="微软雅黑"/>
          <w:lang w:val="en-US" w:eastAsia="zh-CN"/>
        </w:rPr>
        <w:t xml:space="preserve"> </w:t>
      </w:r>
      <w:r>
        <w:rPr>
          <w:rFonts w:hint="eastAsia" w:ascii="微软雅黑" w:hAnsi="微软雅黑" w:eastAsia="微软雅黑" w:cs="微软雅黑"/>
          <w:b w:val="0"/>
          <w:sz w:val="21"/>
        </w:rPr>
        <w:t>在沈阳铁西区通过铁西区教师进修学校解东方校长引荐</w:t>
      </w:r>
      <w:r>
        <w:rPr>
          <w:rFonts w:hint="eastAsia" w:ascii="微软雅黑" w:hAnsi="微软雅黑" w:eastAsia="微软雅黑" w:cs="微软雅黑"/>
          <w:b w:val="0"/>
          <w:sz w:val="21"/>
          <w:lang w:val="en-US" w:eastAsia="zh-CN"/>
        </w:rPr>
        <w:t>主任宿静。和宿主任详细沟通了数独是体育总局推广的全国赛事、数独国赛的流程、线下国赛的氛围效果。</w:t>
      </w:r>
      <w:r>
        <w:rPr>
          <w:rFonts w:hint="eastAsia" w:ascii="微软雅黑" w:hAnsi="微软雅黑" w:eastAsia="微软雅黑" w:cs="微软雅黑"/>
          <w:b w:val="0"/>
          <w:sz w:val="21"/>
        </w:rPr>
        <w:t>宿主任电话沟通了铁西区5所重点学校（广全小学、勋望总校、雏鹰实验小学、育人学校、勋望建北），并将各校校长的联系方式同步给我</w:t>
      </w:r>
      <w:r>
        <w:rPr>
          <w:rFonts w:hint="eastAsia" w:ascii="微软雅黑" w:hAnsi="微软雅黑" w:eastAsia="微软雅黑" w:cs="微软雅黑"/>
          <w:b w:val="0"/>
          <w:sz w:val="21"/>
          <w:lang w:eastAsia="zh-CN"/>
        </w:rPr>
        <w:t>。</w:t>
      </w:r>
    </w:p>
    <w:p w14:paraId="0AD0A970">
      <w:pPr>
        <w:spacing w:after="80" w:line="276" w:lineRule="auto"/>
        <w:ind w:firstLine="432"/>
        <w:rPr>
          <w:rFonts w:hint="eastAsia" w:ascii="微软雅黑" w:hAnsi="微软雅黑" w:eastAsia="微软雅黑" w:cs="微软雅黑"/>
        </w:rPr>
      </w:pPr>
      <w:r>
        <w:rPr>
          <w:rFonts w:hint="eastAsia" w:ascii="微软雅黑" w:hAnsi="微软雅黑" w:eastAsia="微软雅黑" w:cs="微软雅黑"/>
          <w:b w:val="0"/>
          <w:sz w:val="21"/>
        </w:rPr>
        <w:t>拿到联系方式后，我第一时间与各校校长进行电话沟通，成功约定了</w:t>
      </w:r>
      <w:r>
        <w:rPr>
          <w:rFonts w:hint="eastAsia" w:ascii="微软雅黑" w:hAnsi="微软雅黑" w:eastAsia="微软雅黑" w:cs="微软雅黑"/>
          <w:b w:val="0"/>
          <w:sz w:val="21"/>
          <w:lang w:val="en-US" w:eastAsia="zh-CN"/>
        </w:rPr>
        <w:t>第二天</w:t>
      </w:r>
      <w:r>
        <w:rPr>
          <w:rFonts w:hint="eastAsia" w:ascii="微软雅黑" w:hAnsi="微软雅黑" w:eastAsia="微软雅黑" w:cs="微软雅黑"/>
          <w:b w:val="0"/>
          <w:sz w:val="21"/>
        </w:rPr>
        <w:t>的线下拜访（勋望建北因时间冲突暂未约成）。次日</w:t>
      </w:r>
      <w:r>
        <w:rPr>
          <w:rFonts w:hint="eastAsia" w:ascii="微软雅黑" w:hAnsi="微软雅黑" w:eastAsia="微软雅黑" w:cs="微软雅黑"/>
          <w:b w:val="0"/>
          <w:sz w:val="21"/>
          <w:lang w:val="en-US" w:eastAsia="zh-CN"/>
        </w:rPr>
        <w:t>带着</w:t>
      </w:r>
      <w:r>
        <w:rPr>
          <w:rFonts w:hint="eastAsia" w:ascii="微软雅黑" w:hAnsi="微软雅黑" w:eastAsia="微软雅黑" w:cs="微软雅黑"/>
          <w:b w:val="0"/>
          <w:sz w:val="21"/>
        </w:rPr>
        <w:t>纸质版《体育总局社体中心关于举办2026年“中秋·趣味数独”全国数独线上赛的通知》到校，与各校负责人当面沟通赛事流程、参与方式及后续落地细节。</w:t>
      </w:r>
    </w:p>
    <w:p w14:paraId="4575A88A">
      <w:pPr>
        <w:rPr>
          <w:rFonts w:hint="eastAsia" w:ascii="微软雅黑" w:hAnsi="微软雅黑" w:eastAsia="微软雅黑" w:cs="微软雅黑"/>
          <w:b/>
          <w:bCs/>
          <w:sz w:val="21"/>
          <w:lang w:val="en-US" w:eastAsia="zh-CN"/>
        </w:rPr>
      </w:pPr>
      <w:r>
        <w:rPr>
          <w:rFonts w:hint="eastAsia" w:ascii="微软雅黑" w:hAnsi="微软雅黑" w:eastAsia="微软雅黑" w:cs="微软雅黑"/>
          <w:b/>
          <w:bCs/>
          <w:sz w:val="21"/>
          <w:lang w:val="en-US" w:eastAsia="zh-CN"/>
        </w:rPr>
        <w:t>沟通中遇到的共性问题：</w:t>
      </w:r>
    </w:p>
    <w:p w14:paraId="4103BE5B">
      <w:pPr>
        <w:pStyle w:val="3"/>
        <w:spacing w:after="60" w:line="276" w:lineRule="auto"/>
        <w:rPr>
          <w:rFonts w:hint="eastAsia" w:ascii="微软雅黑" w:hAnsi="微软雅黑" w:eastAsia="微软雅黑" w:cs="微软雅黑"/>
        </w:rPr>
      </w:pPr>
      <w:r>
        <w:rPr>
          <w:rFonts w:hint="eastAsia" w:ascii="微软雅黑" w:hAnsi="微软雅黑" w:eastAsia="微软雅黑" w:cs="微软雅黑"/>
          <w:b w:val="0"/>
          <w:bCs/>
          <w:sz w:val="21"/>
        </w:rPr>
        <w:t>对“</w:t>
      </w:r>
      <w:r>
        <w:rPr>
          <w:rFonts w:hint="eastAsia" w:ascii="微软雅黑" w:hAnsi="微软雅黑" w:eastAsia="微软雅黑" w:cs="微软雅黑"/>
          <w:b w:val="0"/>
          <w:bCs/>
          <w:sz w:val="21"/>
          <w:lang w:val="en-US" w:eastAsia="zh-CN"/>
        </w:rPr>
        <w:t>下</w:t>
      </w:r>
      <w:r>
        <w:rPr>
          <w:rFonts w:hint="eastAsia" w:ascii="微软雅黑" w:hAnsi="微软雅黑" w:eastAsia="微软雅黑" w:cs="微软雅黑"/>
          <w:b w:val="0"/>
          <w:bCs/>
          <w:sz w:val="21"/>
        </w:rPr>
        <w:t>发链接”</w:t>
      </w:r>
      <w:r>
        <w:rPr>
          <w:rFonts w:hint="eastAsia" w:ascii="微软雅黑" w:hAnsi="微软雅黑" w:eastAsia="微软雅黑" w:cs="微软雅黑"/>
          <w:b w:val="0"/>
          <w:bCs/>
          <w:sz w:val="21"/>
          <w:lang w:val="en-US" w:eastAsia="zh-CN"/>
        </w:rPr>
        <w:t>的不信任 担风险</w:t>
      </w:r>
      <w:r>
        <w:rPr>
          <w:rFonts w:hint="eastAsia" w:ascii="微软雅黑" w:hAnsi="微软雅黑" w:eastAsia="微软雅黑" w:cs="微软雅黑"/>
          <w:b w:val="0"/>
          <w:bCs/>
          <w:sz w:val="21"/>
          <w:lang w:eastAsia="zh-CN"/>
        </w:rPr>
        <w:t>：</w:t>
      </w:r>
      <w:r>
        <w:rPr>
          <w:rFonts w:hint="eastAsia" w:ascii="微软雅黑" w:hAnsi="微软雅黑" w:eastAsia="微软雅黑" w:cs="微软雅黑"/>
          <w:b w:val="0"/>
          <w:bCs/>
          <w:sz w:val="21"/>
          <w:lang w:val="en-US" w:eastAsia="zh-CN"/>
        </w:rPr>
        <w:t>学校普遍对下发链接保持警惕 比较谨慎</w:t>
      </w:r>
      <w:r>
        <w:rPr>
          <w:rFonts w:hint="eastAsia" w:ascii="微软雅黑" w:hAnsi="微软雅黑" w:eastAsia="微软雅黑" w:cs="微软雅黑"/>
          <w:sz w:val="21"/>
        </w:rPr>
        <w:t>，</w:t>
      </w:r>
      <w:r>
        <w:rPr>
          <w:rFonts w:hint="eastAsia" w:ascii="微软雅黑" w:hAnsi="微软雅黑" w:eastAsia="微软雅黑" w:cs="微软雅黑"/>
          <w:sz w:val="21"/>
          <w:lang w:val="en-US" w:eastAsia="zh-CN"/>
        </w:rPr>
        <w:t>担心存在</w:t>
      </w:r>
      <w:r>
        <w:rPr>
          <w:rFonts w:hint="eastAsia" w:ascii="微软雅黑" w:hAnsi="微软雅黑" w:eastAsia="微软雅黑" w:cs="微软雅黑"/>
          <w:sz w:val="21"/>
        </w:rPr>
        <w:t>收费/推销</w:t>
      </w:r>
      <w:r>
        <w:rPr>
          <w:rFonts w:hint="eastAsia" w:ascii="微软雅黑" w:hAnsi="微软雅黑" w:eastAsia="微软雅黑" w:cs="微软雅黑"/>
          <w:sz w:val="21"/>
          <w:lang w:val="en-US" w:eastAsia="zh-CN"/>
        </w:rPr>
        <w:t>/获取家长信息</w:t>
      </w:r>
      <w:r>
        <w:rPr>
          <w:rFonts w:hint="eastAsia" w:ascii="微软雅黑" w:hAnsi="微软雅黑" w:eastAsia="微软雅黑" w:cs="微软雅黑"/>
          <w:sz w:val="21"/>
        </w:rPr>
        <w:t>的情况</w:t>
      </w:r>
      <w:r>
        <w:rPr>
          <w:rFonts w:hint="eastAsia" w:ascii="微软雅黑" w:hAnsi="微软雅黑" w:eastAsia="微软雅黑" w:cs="微软雅黑"/>
          <w:sz w:val="21"/>
          <w:lang w:eastAsia="zh-CN"/>
        </w:rPr>
        <w:t>。</w:t>
      </w:r>
      <w:r>
        <w:rPr>
          <w:rFonts w:hint="eastAsia" w:ascii="微软雅黑" w:hAnsi="微软雅黑" w:eastAsia="微软雅黑" w:cs="微软雅黑"/>
          <w:sz w:val="21"/>
        </w:rPr>
        <w:t>解决方式：①准备</w:t>
      </w:r>
      <w:r>
        <w:rPr>
          <w:rFonts w:hint="eastAsia" w:ascii="微软雅黑" w:hAnsi="微软雅黑" w:eastAsia="微软雅黑" w:cs="微软雅黑"/>
          <w:sz w:val="21"/>
          <w:lang w:val="en-US" w:eastAsia="zh-CN"/>
        </w:rPr>
        <w:t>好服务手册</w:t>
      </w:r>
      <w:r>
        <w:rPr>
          <w:rFonts w:hint="eastAsia" w:ascii="微软雅黑" w:hAnsi="微软雅黑" w:eastAsia="微软雅黑" w:cs="微软雅黑"/>
          <w:sz w:val="21"/>
        </w:rPr>
        <w:t>、</w:t>
      </w:r>
      <w:r>
        <w:rPr>
          <w:rFonts w:hint="eastAsia" w:ascii="微软雅黑" w:hAnsi="微软雅黑" w:eastAsia="微软雅黑" w:cs="微软雅黑"/>
          <w:sz w:val="21"/>
          <w:lang w:val="en-US" w:eastAsia="zh-CN"/>
        </w:rPr>
        <w:t>给KP展示小盒</w:t>
      </w:r>
      <w:r>
        <w:rPr>
          <w:rFonts w:hint="eastAsia" w:ascii="微软雅黑" w:hAnsi="微软雅黑" w:eastAsia="微软雅黑" w:cs="微软雅黑"/>
          <w:sz w:val="21"/>
        </w:rPr>
        <w:t>平台资质</w:t>
      </w:r>
      <w:r>
        <w:rPr>
          <w:rFonts w:hint="eastAsia" w:ascii="微软雅黑" w:hAnsi="微软雅黑" w:eastAsia="微软雅黑" w:cs="微软雅黑"/>
          <w:sz w:val="21"/>
          <w:lang w:val="en-US" w:eastAsia="zh-CN"/>
        </w:rPr>
        <w:t>以及</w:t>
      </w:r>
      <w:r>
        <w:rPr>
          <w:rFonts w:hint="eastAsia" w:ascii="微软雅黑" w:hAnsi="微软雅黑" w:eastAsia="微软雅黑" w:cs="微软雅黑"/>
          <w:sz w:val="21"/>
        </w:rPr>
        <w:t>链接</w:t>
      </w:r>
      <w:r>
        <w:rPr>
          <w:rFonts w:hint="eastAsia" w:ascii="微软雅黑" w:hAnsi="微软雅黑" w:eastAsia="微软雅黑" w:cs="微软雅黑"/>
          <w:sz w:val="21"/>
          <w:lang w:val="en-US" w:eastAsia="zh-CN"/>
        </w:rPr>
        <w:t>详细实际</w:t>
      </w:r>
      <w:r>
        <w:rPr>
          <w:rFonts w:hint="eastAsia" w:ascii="微软雅黑" w:hAnsi="微软雅黑" w:eastAsia="微软雅黑" w:cs="微软雅黑"/>
          <w:sz w:val="21"/>
        </w:rPr>
        <w:t>用途说明；②现场演示链接页</w:t>
      </w:r>
      <w:r>
        <w:rPr>
          <w:rFonts w:hint="eastAsia" w:ascii="微软雅黑" w:hAnsi="微软雅黑" w:eastAsia="微软雅黑" w:cs="微软雅黑"/>
          <w:sz w:val="21"/>
          <w:lang w:val="en-US" w:eastAsia="zh-CN"/>
        </w:rPr>
        <w:t>面 展示报名流程，抵消KP顾虑</w:t>
      </w:r>
      <w:r>
        <w:rPr>
          <w:rFonts w:hint="eastAsia" w:ascii="微软雅黑" w:hAnsi="微软雅黑" w:eastAsia="微软雅黑" w:cs="微软雅黑"/>
          <w:sz w:val="21"/>
        </w:rPr>
        <w:t>；③</w:t>
      </w:r>
      <w:r>
        <w:rPr>
          <w:rFonts w:hint="eastAsia" w:ascii="微软雅黑" w:hAnsi="微软雅黑" w:eastAsia="微软雅黑" w:cs="微软雅黑"/>
          <w:sz w:val="21"/>
          <w:lang w:val="en-US" w:eastAsia="zh-CN"/>
        </w:rPr>
        <w:t>举案例证实我们的背书和专业性</w:t>
      </w:r>
    </w:p>
    <w:p w14:paraId="3026F13A">
      <w:pPr>
        <w:pStyle w:val="3"/>
        <w:spacing w:after="60" w:line="276" w:lineRule="auto"/>
        <w:rPr>
          <w:rFonts w:hint="eastAsia" w:ascii="微软雅黑" w:hAnsi="微软雅黑" w:eastAsia="微软雅黑" w:cs="微软雅黑"/>
        </w:rPr>
      </w:pPr>
      <w:r>
        <w:rPr>
          <w:rFonts w:hint="eastAsia" w:ascii="微软雅黑" w:hAnsi="微软雅黑" w:eastAsia="微软雅黑" w:cs="微软雅黑"/>
          <w:lang w:val="en-US" w:eastAsia="zh-CN"/>
        </w:rPr>
        <w:t>对是否有收费/获取家长信息/强推销敏感</w:t>
      </w:r>
      <w:r>
        <w:rPr>
          <w:rFonts w:hint="eastAsia" w:ascii="微软雅黑" w:hAnsi="微软雅黑" w:eastAsia="微软雅黑" w:cs="微软雅黑"/>
          <w:lang w:val="en-US" w:eastAsia="zh-CN"/>
        </w:rPr>
        <w:t>：</w:t>
      </w:r>
      <w:r>
        <w:rPr>
          <w:rFonts w:hint="eastAsia" w:ascii="微软雅黑" w:hAnsi="微软雅黑" w:eastAsia="微软雅黑" w:cs="微软雅黑"/>
          <w:sz w:val="21"/>
        </w:rPr>
        <w:t>几乎所有学校都会询问</w:t>
      </w:r>
      <w:r>
        <w:rPr>
          <w:rFonts w:hint="eastAsia" w:ascii="微软雅黑" w:hAnsi="微软雅黑" w:eastAsia="微软雅黑" w:cs="微软雅黑"/>
          <w:sz w:val="21"/>
          <w:lang w:val="en-US" w:eastAsia="zh-CN"/>
        </w:rPr>
        <w:t xml:space="preserve"> 链接的安全性</w:t>
      </w:r>
      <w:r>
        <w:rPr>
          <w:rFonts w:hint="eastAsia" w:ascii="微软雅黑" w:hAnsi="微软雅黑" w:eastAsia="微软雅黑" w:cs="微软雅黑"/>
          <w:sz w:val="21"/>
        </w:rPr>
        <w:t>是否存在</w:t>
      </w:r>
      <w:r>
        <w:rPr>
          <w:rFonts w:hint="eastAsia" w:ascii="微软雅黑" w:hAnsi="微软雅黑" w:eastAsia="微软雅黑" w:cs="微软雅黑"/>
          <w:sz w:val="21"/>
          <w:lang w:val="en-US" w:eastAsia="zh-CN"/>
        </w:rPr>
        <w:t>获取学员信息 引导收费</w:t>
      </w:r>
      <w:r>
        <w:rPr>
          <w:rFonts w:hint="eastAsia" w:ascii="微软雅黑" w:hAnsi="微软雅黑" w:eastAsia="微软雅黑" w:cs="微软雅黑"/>
          <w:sz w:val="21"/>
        </w:rPr>
        <w:t>或推销</w:t>
      </w:r>
      <w:r>
        <w:rPr>
          <w:rFonts w:hint="eastAsia" w:ascii="微软雅黑" w:hAnsi="微软雅黑" w:eastAsia="微软雅黑" w:cs="微软雅黑"/>
          <w:sz w:val="21"/>
          <w:lang w:eastAsia="zh-CN"/>
        </w:rPr>
        <w:t>。</w:t>
      </w:r>
      <w:r>
        <w:rPr>
          <w:rFonts w:hint="eastAsia" w:ascii="微软雅黑" w:hAnsi="微软雅黑" w:eastAsia="微软雅黑" w:cs="微软雅黑"/>
          <w:sz w:val="21"/>
          <w:lang w:val="en-US" w:eastAsia="zh-CN"/>
        </w:rPr>
        <w:t>解决方式：</w:t>
      </w:r>
      <w:r>
        <w:rPr>
          <w:rFonts w:hint="eastAsia" w:ascii="微软雅黑" w:hAnsi="微软雅黑" w:eastAsia="微软雅黑" w:cs="微软雅黑"/>
          <w:sz w:val="21"/>
        </w:rPr>
        <w:t>明确赛事由国家体育总局社体中心主办</w:t>
      </w:r>
      <w:r>
        <w:rPr>
          <w:rFonts w:hint="eastAsia" w:ascii="微软雅黑" w:hAnsi="微软雅黑" w:eastAsia="微软雅黑" w:cs="微软雅黑"/>
          <w:sz w:val="21"/>
          <w:lang w:val="en-US" w:eastAsia="zh-CN"/>
        </w:rPr>
        <w:t>监管</w:t>
      </w:r>
      <w:r>
        <w:rPr>
          <w:rFonts w:hint="eastAsia" w:ascii="微软雅黑" w:hAnsi="微软雅黑" w:eastAsia="微软雅黑" w:cs="微软雅黑"/>
          <w:sz w:val="21"/>
        </w:rPr>
        <w:t>、小盒科技提供技术支持，学生</w:t>
      </w:r>
      <w:r>
        <w:rPr>
          <w:rFonts w:hint="eastAsia" w:ascii="微软雅黑" w:hAnsi="微软雅黑" w:eastAsia="微软雅黑" w:cs="微软雅黑"/>
          <w:sz w:val="21"/>
          <w:lang w:val="en-US" w:eastAsia="zh-CN"/>
        </w:rPr>
        <w:t>自主资源</w:t>
      </w:r>
      <w:r>
        <w:rPr>
          <w:rFonts w:hint="eastAsia" w:ascii="微软雅黑" w:hAnsi="微软雅黑" w:eastAsia="微软雅黑" w:cs="微软雅黑"/>
          <w:sz w:val="21"/>
        </w:rPr>
        <w:t>免费参与。</w:t>
      </w:r>
      <w:r>
        <w:rPr>
          <w:rFonts w:hint="eastAsia" w:ascii="微软雅黑" w:hAnsi="微软雅黑" w:eastAsia="微软雅黑" w:cs="微软雅黑"/>
          <w:sz w:val="21"/>
          <w:lang w:val="en-US" w:eastAsia="zh-CN"/>
        </w:rPr>
        <w:t>同时给KP展示从点击链接到学练打卡的全过程 打消顾虑。</w:t>
      </w:r>
    </w:p>
    <w:p w14:paraId="7A7058A2">
      <w:pPr>
        <w:pStyle w:val="3"/>
        <w:spacing w:after="60" w:line="276" w:lineRule="auto"/>
        <w:rPr>
          <w:rFonts w:hint="eastAsia" w:ascii="微软雅黑" w:hAnsi="微软雅黑" w:eastAsia="微软雅黑" w:cs="微软雅黑"/>
          <w:b w:val="0"/>
          <w:bCs/>
          <w:sz w:val="21"/>
          <w:lang w:val="en-US" w:eastAsia="zh-CN"/>
        </w:rPr>
      </w:pPr>
      <w:r>
        <w:rPr>
          <w:rFonts w:hint="eastAsia" w:ascii="微软雅黑" w:hAnsi="微软雅黑" w:eastAsia="微软雅黑" w:cs="微软雅黑"/>
          <w:b w:val="0"/>
          <w:bCs/>
          <w:sz w:val="21"/>
          <w:lang w:val="en-US" w:eastAsia="zh-CN"/>
        </w:rPr>
        <w:t>反馈报名需要添加一个企微 能不能取消：会有家长和学校反馈必须要添加这个老师的微信才能参加吗 不添加行不行？解决方式：和学校同步所添加的老师是我们的AI助教 学生有课程上的问题可随时提问，同时老师也会提醒孩子进行练习和学习，是辅助老师不具备营销效应是帮助孩子解决问题的。我是为学生解决软件 技术问题的 是两个方面都可正常添加。</w:t>
      </w:r>
    </w:p>
    <w:p w14:paraId="39312C79">
      <w:pPr>
        <w:pStyle w:val="3"/>
        <w:numPr>
          <w:numId w:val="0"/>
        </w:numPr>
        <w:spacing w:after="60" w:line="276" w:lineRule="auto"/>
        <w:ind w:leftChars="0"/>
        <w:rPr>
          <w:rFonts w:hint="eastAsia" w:ascii="微软雅黑" w:hAnsi="微软雅黑" w:eastAsia="微软雅黑" w:cs="微软雅黑"/>
          <w:b/>
          <w:bCs w:val="0"/>
          <w:sz w:val="21"/>
          <w:lang w:val="en-US" w:eastAsia="zh-CN"/>
        </w:rPr>
      </w:pPr>
      <w:r>
        <w:rPr>
          <w:rFonts w:hint="eastAsia" w:ascii="微软雅黑" w:hAnsi="微软雅黑" w:eastAsia="微软雅黑" w:cs="微软雅黑"/>
          <w:b/>
          <w:bCs w:val="0"/>
          <w:sz w:val="21"/>
          <w:lang w:val="en-US" w:eastAsia="zh-CN"/>
        </w:rPr>
        <w:t>阶段性结果：</w:t>
      </w:r>
      <w:bookmarkStart w:id="0" w:name="_GoBack"/>
      <w:bookmarkEnd w:id="0"/>
    </w:p>
    <w:p w14:paraId="1CF917DA">
      <w:pPr>
        <w:pStyle w:val="2"/>
        <w:numPr>
          <w:ilvl w:val="0"/>
          <w:numId w:val="3"/>
        </w:numPr>
        <w:spacing w:line="276" w:lineRule="auto"/>
        <w:ind w:leftChars="0"/>
        <w:rPr>
          <w:rFonts w:hint="eastAsia" w:ascii="微软雅黑" w:hAnsi="微软雅黑" w:eastAsia="微软雅黑" w:cs="微软雅黑"/>
          <w:sz w:val="21"/>
        </w:rPr>
      </w:pPr>
      <w:r>
        <w:rPr>
          <w:rFonts w:hint="eastAsia" w:ascii="微软雅黑" w:hAnsi="微软雅黑" w:eastAsia="微软雅黑" w:cs="微软雅黑"/>
          <w:b w:val="0"/>
          <w:bCs/>
          <w:sz w:val="21"/>
          <w:lang w:val="en-US" w:eastAsia="zh-CN"/>
        </w:rPr>
        <w:t>成功完成4所学校落地</w:t>
      </w:r>
      <w:r>
        <w:rPr>
          <w:rFonts w:hint="eastAsia" w:ascii="微软雅黑" w:hAnsi="微软雅黑" w:eastAsia="微软雅黑" w:cs="微软雅黑"/>
          <w:sz w:val="21"/>
        </w:rPr>
        <w:t>（广全小学、雏鹰实验小学、育人学校、勋望总校）</w:t>
      </w:r>
      <w:r>
        <w:rPr>
          <w:rFonts w:hint="eastAsia" w:ascii="微软雅黑" w:hAnsi="微软雅黑" w:eastAsia="微软雅黑" w:cs="微软雅黑"/>
          <w:b w:val="0"/>
          <w:bCs/>
          <w:sz w:val="21"/>
          <w:lang w:val="en-US" w:eastAsia="zh-CN"/>
        </w:rPr>
        <w:t>，</w:t>
      </w:r>
      <w:r>
        <w:rPr>
          <w:rFonts w:hint="eastAsia" w:ascii="微软雅黑" w:hAnsi="微软雅黑" w:eastAsia="微软雅黑" w:cs="微软雅黑"/>
          <w:sz w:val="21"/>
        </w:rPr>
        <w:t>1所（勋望建北）仍在跟进中。</w:t>
      </w:r>
    </w:p>
    <w:p w14:paraId="5276356B">
      <w:pPr>
        <w:pStyle w:val="2"/>
        <w:numPr>
          <w:ilvl w:val="0"/>
          <w:numId w:val="3"/>
        </w:numPr>
        <w:spacing w:line="276" w:lineRule="auto"/>
        <w:ind w:leftChars="0"/>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领课共计1309，一年级424，一年级占比33%，整体到课率50%</w:t>
      </w:r>
    </w:p>
    <w:p w14:paraId="6CB7BB82">
      <w:pPr>
        <w:pStyle w:val="2"/>
        <w:numPr>
          <w:ilvl w:val="0"/>
          <w:numId w:val="3"/>
        </w:numPr>
        <w:spacing w:line="276" w:lineRule="auto"/>
        <w:ind w:leftChars="0"/>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挖掘出广全学校、勋望沈辽路学校确定机会点 可继续跟进。雏鹰实验、育人学校 结合科数融合还可继续跟进。</w:t>
      </w:r>
    </w:p>
    <w:p w14:paraId="02094C64">
      <w:pPr>
        <w:pStyle w:val="2"/>
        <w:numPr>
          <w:ilvl w:val="0"/>
          <w:numId w:val="3"/>
        </w:numPr>
        <w:spacing w:line="276" w:lineRule="auto"/>
        <w:ind w:leftChars="0"/>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形成区域样板校，本区域跑动中可结合样板校案例攻坚区域高壁垒学校。形成区域案例 跑动其它区域及单校都可作为切入点寻找机会。</w:t>
      </w:r>
    </w:p>
    <w:p w14:paraId="3635B1BE">
      <w:pPr>
        <w:pStyle w:val="2"/>
        <w:numPr>
          <w:numId w:val="0"/>
        </w:numPr>
        <w:spacing w:line="276" w:lineRule="auto"/>
        <w:ind w:leftChars="0"/>
        <w:rPr>
          <w:rFonts w:hint="eastAsia" w:ascii="微软雅黑" w:hAnsi="微软雅黑" w:eastAsia="微软雅黑" w:cs="微软雅黑"/>
          <w:b/>
          <w:bCs/>
          <w:sz w:val="21"/>
          <w:lang w:val="en-US" w:eastAsia="zh-CN"/>
        </w:rPr>
      </w:pPr>
      <w:r>
        <w:rPr>
          <w:rFonts w:hint="eastAsia" w:ascii="微软雅黑" w:hAnsi="微软雅黑" w:eastAsia="微软雅黑" w:cs="微软雅黑"/>
          <w:b/>
          <w:bCs/>
          <w:sz w:val="21"/>
          <w:lang w:val="en-US" w:eastAsia="zh-CN"/>
        </w:rPr>
        <w:t>业务思考：</w:t>
      </w:r>
    </w:p>
    <w:p w14:paraId="6CDAD996">
      <w:pPr>
        <w:pStyle w:val="2"/>
        <w:numPr>
          <w:ilvl w:val="0"/>
          <w:numId w:val="4"/>
        </w:numPr>
        <w:spacing w:line="276" w:lineRule="auto"/>
        <w:ind w:leftChars="0"/>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背书是第一核心重点：国赛的背书是我们和进修沟通的官方背书，进修也能借助背景来看如何往下推进。进修背书是和学校能落地的关键，这几所落地校是过往完全没有开展过任何活动甚至每能拜访过的高壁垒学校。通过进修转介绍成功入校和一把校长建联 沟通数独赛事完整流程 解决顾虑才成功完成落地。如果没有进修 这几所学校建联都是非常困难的更别说落地活动。有局里或者进修的关系 一定要跑动想办法让他帮我们做点事。</w:t>
      </w:r>
    </w:p>
    <w:p w14:paraId="3D9BFF2F">
      <w:pPr>
        <w:pStyle w:val="2"/>
        <w:numPr>
          <w:ilvl w:val="0"/>
          <w:numId w:val="4"/>
        </w:numPr>
        <w:spacing w:line="276" w:lineRule="auto"/>
        <w:ind w:leftChars="0"/>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沟通与服务：不是说进修让你过来沟通活动 你来执行这是事就稳了，学校完全可以根据你的沟通态度去托一下或者就不开展这个工作了，那对我们是致命的。沟通态度是我们的职业素养。同时尽可能再不影响我们自己的前提下做好这次的跟进服务，让学校感觉到结合我们的技术支持我们是认真再帮助学校做这个事，但别太卑微。</w:t>
      </w:r>
    </w:p>
    <w:p w14:paraId="25741652">
      <w:pPr>
        <w:pStyle w:val="2"/>
        <w:numPr>
          <w:ilvl w:val="0"/>
          <w:numId w:val="4"/>
        </w:numPr>
        <w:spacing w:line="276" w:lineRule="auto"/>
        <w:ind w:leftChars="0"/>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关于领课下发：要结合口算本或者其它衍生品。其实我数独整体的领课数据并不高，如果结合了衍生品 家长就算不了解数独 会不会因为想要口算本就报名领课。能增加一些领课量就有机会能做转化。</w:t>
      </w:r>
    </w:p>
    <w:p w14:paraId="1556EDC3">
      <w:pPr>
        <w:pStyle w:val="2"/>
        <w:numPr>
          <w:ilvl w:val="0"/>
          <w:numId w:val="4"/>
        </w:numPr>
        <w:spacing w:line="276" w:lineRule="auto"/>
        <w:ind w:leftChars="0"/>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数据跟进：每日数据跟进一定要做，如果学校执行人觉着我完成了进修的任务 中间的过程性指标不关心，那就去找大校长沟通。你不去做跟进 学校也会觉着你不在乎这个事整体领课也不会好。</w:t>
      </w:r>
    </w:p>
    <w:p w14:paraId="2A3ED30F">
      <w:pPr>
        <w:pStyle w:val="2"/>
        <w:numPr>
          <w:ilvl w:val="0"/>
          <w:numId w:val="4"/>
        </w:numPr>
        <w:spacing w:line="276" w:lineRule="auto"/>
        <w:ind w:leftChars="0"/>
        <w:rPr>
          <w:rFonts w:hint="eastAsia" w:ascii="微软雅黑" w:hAnsi="微软雅黑" w:eastAsia="微软雅黑" w:cs="微软雅黑"/>
          <w:b w:val="0"/>
          <w:bCs w:val="0"/>
          <w:sz w:val="21"/>
          <w:lang w:val="en-US" w:eastAsia="zh-CN"/>
        </w:rPr>
      </w:pPr>
      <w:r>
        <w:rPr>
          <w:rFonts w:hint="eastAsia" w:ascii="微软雅黑" w:hAnsi="微软雅黑" w:eastAsia="微软雅黑" w:cs="微软雅黑"/>
          <w:sz w:val="21"/>
          <w:lang w:val="en-US" w:eastAsia="zh-CN"/>
        </w:rPr>
        <w:t>ToC沟通 家长服务：家长的电话或者微信一定要回复并且沟通清楚。从数独领课下发后我陆续接到了80+电话和很多的微信添加沟通。家长的问题点基本是①数独是什么②赛事怎么参加③我们怎么报名④收不收费⑤对孩子有什么帮助等等等等。和家长沟通清楚后她是会好好参与练习 到课学习。我们需要的不就是到课率么。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F371B"/>
    <w:multiLevelType w:val="singleLevel"/>
    <w:tmpl w:val="BD7F371B"/>
    <w:lvl w:ilvl="0" w:tentative="0">
      <w:start w:val="1"/>
      <w:numFmt w:val="decimal"/>
      <w:lvlText w:val="%1."/>
      <w:lvlJc w:val="left"/>
      <w:pPr>
        <w:tabs>
          <w:tab w:val="left" w:pos="312"/>
        </w:tabs>
      </w:pPr>
    </w:lvl>
  </w:abstractNum>
  <w:abstractNum w:abstractNumId="1">
    <w:nsid w:val="F86B4AF3"/>
    <w:multiLevelType w:val="singleLevel"/>
    <w:tmpl w:val="F86B4AF3"/>
    <w:lvl w:ilvl="0" w:tentative="0">
      <w:start w:val="1"/>
      <w:numFmt w:val="decimal"/>
      <w:pStyle w:val="2"/>
      <w:lvlText w:val="%1."/>
      <w:lvlJc w:val="left"/>
      <w:pPr>
        <w:tabs>
          <w:tab w:val="left" w:pos="360"/>
        </w:tabs>
        <w:ind w:left="360" w:hanging="360"/>
      </w:pPr>
    </w:lvl>
  </w:abstractNum>
  <w:abstractNum w:abstractNumId="2">
    <w:nsid w:val="06B07EEB"/>
    <w:multiLevelType w:val="singleLevel"/>
    <w:tmpl w:val="06B07EEB"/>
    <w:lvl w:ilvl="0" w:tentative="0">
      <w:start w:val="1"/>
      <w:numFmt w:val="bullet"/>
      <w:pStyle w:val="3"/>
      <w:lvlText w:val=""/>
      <w:lvlJc w:val="left"/>
      <w:pPr>
        <w:tabs>
          <w:tab w:val="left" w:pos="360"/>
        </w:tabs>
        <w:ind w:left="360" w:hanging="360"/>
      </w:pPr>
      <w:rPr>
        <w:rFonts w:hint="default" w:ascii="Wingdings" w:hAnsi="Wingdings"/>
      </w:rPr>
    </w:lvl>
  </w:abstractNum>
  <w:abstractNum w:abstractNumId="3">
    <w:nsid w:val="46B5BA7A"/>
    <w:multiLevelType w:val="singleLevel"/>
    <w:tmpl w:val="46B5BA7A"/>
    <w:lvl w:ilvl="0" w:tentative="0">
      <w:start w:val="1"/>
      <w:numFmt w:val="decimal"/>
      <w:lvlText w:val="%1."/>
      <w:lvlJc w:val="left"/>
      <w:pPr>
        <w:tabs>
          <w:tab w:val="left" w:pos="312"/>
        </w:tabs>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BB3C87"/>
    <w:rsid w:val="5AA91A93"/>
    <w:rsid w:val="5F1871E8"/>
    <w:rsid w:val="7F770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List Number"/>
    <w:basedOn w:val="1"/>
    <w:uiPriority w:val="0"/>
    <w:pPr>
      <w:numPr>
        <w:ilvl w:val="0"/>
        <w:numId w:val="1"/>
      </w:numPr>
    </w:pPr>
  </w:style>
  <w:style w:type="paragraph" w:styleId="3">
    <w:name w:val="List Bullet"/>
    <w:basedOn w:val="1"/>
    <w:uiPriority w:val="0"/>
    <w:pPr>
      <w:numPr>
        <w:ilvl w:val="0"/>
        <w:numId w:val="2"/>
      </w:numPr>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2026-09-15T01:15:54Z</dcterms:created>
  <dc:creator>1</dc:creator>
  <cp:lastModifiedBy>z </cp:lastModifiedBy>
  <dcterms:modified xsi:type="dcterms:W3CDTF">2026-09-15T10:22:25Z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eyJoZGlkIjoiYWU2OGQwZDNkNGQ2ZjZlN2JmMjAzNDczNGZkMjFhYWEiLCJ1c2VySWQiOiI2MDI2OTUxMDcifQ==</vt:lpwstr>
  </property>
  <property fmtid="{D5CDD505-2E9C-101B-9397-08002B2CF9AE}" pid="4" name="ICV">
    <vt:lpwstr>A0A17036C4F542F5B022F557B11B846D_12</vt:lpwstr>
  </property>
</Properties>
</file>