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6091"/>
          <w:sz w:val="32"/>
          <w:szCs w:val="32"/>
        </w:rPr>
        <w:t xml:space="preserve">EXECUTIVE SUMMARY</w:t>
      </w:r>
    </w:p>
    <w:p>
      <w:pPr>
        <w:pBdr>
          <w:bottom w:val="single" w:color="1E6091" w:sz="6" w:space="4"/>
        </w:pBdr>
        <w:spacing w:after="160"/>
      </w:pPr>
      <w:r>
        <w:rPr>
          <w:i/>
          <w:iCs/>
          <w:color w:val="555555"/>
          <w:sz w:val="19"/>
          <w:szCs w:val="19"/>
        </w:rPr>
        <w:t xml:space="preserve">D2C Fashion Brand — Customer Intelligence &amp; Retention Strategy</w:t>
      </w:r>
    </w:p>
    <w:p>
      <w:pPr>
        <w:spacing w:after="80" w:before="160"/>
      </w:pPr>
      <w:r>
        <w:rPr>
          <w:b/>
          <w:bCs/>
          <w:color w:val="1E6091"/>
          <w:sz w:val="24"/>
          <w:szCs w:val="24"/>
        </w:rPr>
        <w:t xml:space="preserve">The Situation</w:t>
      </w:r>
    </w:p>
    <w:p>
      <w:pPr>
        <w:spacing w:after="100"/>
      </w:pPr>
      <w:r>
        <w:rPr>
          <w:sz w:val="20"/>
          <w:szCs w:val="20"/>
        </w:rPr>
        <w:t xml:space="preserve">Analysis of 3,900 customers shows the brand's promotional program is not converting bargain hunters into more loyal buyers than full-price customers already are. At the same time, a small but identifiable group of customers — 6.4% of the base — already represents the brand's ideal profile: high spend, high tenure, high satisfaction, and no discount dependency.</w:t>
      </w:r>
    </w:p>
    <w:p>
      <w:pPr>
        <w:spacing w:after="80" w:before="160"/>
      </w:pPr>
      <w:r>
        <w:rPr>
          <w:b/>
          <w:bCs/>
          <w:color w:val="1E6091"/>
          <w:sz w:val="24"/>
          <w:szCs w:val="24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60"/>
        <w:gridCol w:w="50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09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09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09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Full-price buyers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2,223 (57%)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Majority of customers already buy without discounts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bargain hunters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1,677 (43%)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Repeat purchase rate (25.7) nearly equals full-price buyers (25.1) — discounts aren't driving extra loyalty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Ideal Customer Profile (ICP)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251 (6.4%)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 Value, full-price, 4.0+ rated — spend 34% above average, 57% more repeat purchases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Sunset test segment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270 (6.9%)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Low-tenure (≤8 purchases) full bargain hunters — lowest-risk group for a discount test</w:t>
            </w:r>
          </w:p>
        </w:tc>
      </w:tr>
    </w:tbl>
    <w:p>
      <w:pPr>
        <w:spacing w:after="80" w:before="160"/>
      </w:pPr>
      <w:r>
        <w:rPr>
          <w:b/>
          <w:bCs/>
          <w:color w:val="1E6091"/>
          <w:sz w:val="24"/>
          <w:szCs w:val="24"/>
        </w:rPr>
        <w:t xml:space="preserve">Recommendation 1 — Promotional Sunset Test</w:t>
      </w:r>
    </w:p>
    <w:p>
      <w:pPr>
        <w:spacing w:after="100"/>
      </w:pPr>
      <w:r>
        <w:rPr>
          <w:sz w:val="20"/>
          <w:szCs w:val="20"/>
        </w:rPr>
        <w:t xml:space="preserve">Run a 50% discount reduction as an A/B test (Test vs. Control) on the 270 low-tenure, full-discount customers — the segment with the least established relationship and lowest value-at-risk (avg value score 266 vs. brand average 1,505).</w:t>
      </w:r>
    </w:p>
    <w:p>
      <w:pPr>
        <w:pBdr>
          <w:left w:val="single" w:color="1E6091" w:sz="16" w:space="6"/>
        </w:pBdr>
        <w:spacing w:after="100" w:before="60"/>
        <w:ind w:left="160"/>
      </w:pPr>
      <w:r>
        <w:rPr>
          <w:b/>
          <w:bCs/>
          <w:color w:val="1E6091"/>
          <w:sz w:val="19"/>
          <w:szCs w:val="19"/>
        </w:rPr>
        <w:t xml:space="preserve">Timeline: </w:t>
      </w:r>
      <w:r>
        <w:rPr>
          <w:sz w:val="19"/>
          <w:szCs w:val="19"/>
        </w:rPr>
        <w:t xml:space="preserve">Month 1–2 launch test; Month 3 compare repeat purchase rates; Month 4 roll out fully if Test stays within 5pp of Control, or revert if it drops more than 10pp.</w:t>
      </w:r>
    </w:p>
    <w:p>
      <w:pPr>
        <w:pBdr>
          <w:left w:val="single" w:color="1E6091" w:sz="16" w:space="6"/>
        </w:pBdr>
        <w:spacing w:after="100" w:before="60"/>
        <w:ind w:left="160"/>
      </w:pPr>
      <w:r>
        <w:rPr>
          <w:b/>
          <w:bCs/>
          <w:color w:val="1E6091"/>
          <w:sz w:val="19"/>
          <w:szCs w:val="19"/>
        </w:rPr>
        <w:t xml:space="preserve">Estimated impact: </w:t>
      </w:r>
      <w:r>
        <w:rPr>
          <w:sz w:val="19"/>
          <w:szCs w:val="19"/>
        </w:rPr>
        <w:t xml:space="preserve">$1,592/cycle at 50% reduction; up to $3,184/cycle if full removal succeeds.</w:t>
      </w:r>
    </w:p>
    <w:p>
      <w:pPr>
        <w:pBdr>
          <w:left w:val="single" w:color="1E6091" w:sz="16" w:space="6"/>
        </w:pBdr>
        <w:spacing w:after="100" w:before="60"/>
        <w:ind w:left="160"/>
      </w:pPr>
      <w:r>
        <w:rPr>
          <w:b/>
          <w:bCs/>
          <w:color w:val="1E6091"/>
          <w:sz w:val="19"/>
          <w:szCs w:val="19"/>
        </w:rPr>
        <w:t xml:space="preserve">Trade-off: </w:t>
      </w:r>
      <w:r>
        <w:rPr>
          <w:sz w:val="19"/>
          <w:szCs w:val="19"/>
        </w:rPr>
        <w:t xml:space="preserve">Some customers may churn rather than convert to full price — but because this segment's value is already low, the downside is capped. High-tenure loyal subscribers (51 customers) are deliberately excluded from this sunset — removing their discount risks far more relationship damage than the ~$814 margin it would recover.</w:t>
      </w:r>
    </w:p>
    <w:p>
      <w:pPr>
        <w:spacing w:after="80" w:before="160"/>
      </w:pPr>
      <w:r>
        <w:rPr>
          <w:b/>
          <w:bCs/>
          <w:color w:val="1E6091"/>
          <w:sz w:val="24"/>
          <w:szCs w:val="24"/>
        </w:rPr>
        <w:t xml:space="preserve">Recommendation 2 — Ideal Customer Profile Targeting</w:t>
      </w:r>
    </w:p>
    <w:p>
      <w:pPr>
        <w:spacing w:after="100"/>
      </w:pPr>
      <w:r>
        <w:rPr>
          <w:sz w:val="20"/>
          <w:szCs w:val="20"/>
        </w:rPr>
        <w:t xml:space="preserve">The ICP is a 40–50 year old professional (near 50/50 gender split), buying Clothing at full price roughly monthly, spending ~$80/order, with 35–45 prior purchases and a 4.5/5 rating. Concentrated in Arizona, Michigan, Nevada, and New Mexico.</w:t>
      </w:r>
    </w:p>
    <w:p>
      <w:pPr>
        <w:pBdr>
          <w:left w:val="single" w:color="1E6091" w:sz="16" w:space="6"/>
        </w:pBdr>
        <w:spacing w:after="100" w:before="60"/>
        <w:ind w:left="160"/>
      </w:pPr>
      <w:r>
        <w:rPr>
          <w:b/>
          <w:bCs/>
          <w:color w:val="1E6091"/>
          <w:sz w:val="19"/>
          <w:szCs w:val="19"/>
        </w:rPr>
        <w:t xml:space="preserve">Actions: </w:t>
      </w:r>
      <w:r>
        <w:rPr>
          <w:sz w:val="19"/>
          <w:szCs w:val="19"/>
        </w:rPr>
        <w:t xml:space="preserve">(1) Build Meta/Google lookalike audiences from the 251 ICP customers, seeded in top ICP states and Clothing interest categories. (2) Run no-discount brand campaigns in Fall, the season with the lowest promo dependency (0.81) and highest full-price rate (59.3%). (3) Reposition Outerwear as a post-purchase upsell rather than an acquisition category — it has the highest ICP spend ($82.67) but lowest ICP volume (8.4%).</w:t>
      </w:r>
    </w:p>
    <w:p>
      <w:pPr>
        <w:pBdr>
          <w:left w:val="single" w:color="1E6091" w:sz="16" w:space="6"/>
        </w:pBdr>
        <w:spacing w:after="100" w:before="60"/>
        <w:ind w:left="160"/>
      </w:pPr>
      <w:r>
        <w:rPr>
          <w:b/>
          <w:bCs/>
          <w:color w:val="1E6091"/>
          <w:sz w:val="19"/>
          <w:szCs w:val="19"/>
        </w:rPr>
        <w:t xml:space="preserve">Trade-offs: </w:t>
      </w:r>
      <w:r>
        <w:rPr>
          <w:sz w:val="19"/>
          <w:szCs w:val="19"/>
        </w:rPr>
        <w:t xml:space="preserve">Lookalike targeting has smaller reach/higher CPM (justified by ~2x customer value); no-discount Fall campaigns need a non-price urgency mechanism; Outerwear shifts from broad campaigns to retargeting, narrowing its acquisition role.</w:t>
      </w:r>
    </w:p>
    <w:p>
      <w:pPr>
        <w:spacing w:after="80" w:before="160"/>
      </w:pPr>
      <w:r>
        <w:rPr>
          <w:b/>
          <w:bCs/>
          <w:color w:val="1E6091"/>
          <w:sz w:val="24"/>
          <w:szCs w:val="24"/>
        </w:rPr>
        <w:t xml:space="preserve">The One Decision This Quarter</w:t>
      </w:r>
    </w:p>
    <w:p>
      <w:pPr>
        <w:spacing w:after="100"/>
      </w:pPr>
      <w:r>
        <w:rPr>
          <w:sz w:val="20"/>
          <w:szCs w:val="20"/>
        </w:rPr>
        <w:t xml:space="preserve">Launch the Phase 1 A/B test on the 270-customer low-tenure bargain-hunter segment. It is low-risk (under 7% of the base), targets customers with the least to lose, and will provide real evidence — not assumptions — on whether discounts are actually necessary to retain this group. Results should inform any larger-scale changes to the promotional program or loyalty-tier reframing for high-value subscribers.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2026-06-15T07:47:16.685Z</dcterms:created>
  <dcterms:modified xsi:type="dcterms:W3CDTF">2026-06-15T07:47:16.697Z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