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E6091"/>
          <w:sz w:val="40"/>
          <w:szCs w:val="40"/>
        </w:rPr>
        <w:t xml:space="preserve">RETENTION PLAYBOOK</w:t>
      </w:r>
    </w:p>
    <w:p>
      <w:pPr>
        <w:spacing w:after="40"/>
      </w:pPr>
      <w:r>
        <w:rPr>
          <w:i/>
          <w:iCs/>
          <w:sz w:val="24"/>
          <w:szCs w:val="24"/>
        </w:rPr>
        <w:t xml:space="preserve">D2C Fashion Brand — Promotional Sunset Plan &amp; Ideal Customer Profile</w:t>
      </w:r>
    </w:p>
    <w:p>
      <w:pPr>
        <w:pBdr>
          <w:bottom w:val="single" w:color="1E6091" w:sz="6" w:space="4"/>
        </w:pBdr>
        <w:spacing w:after="300"/>
      </w:pPr>
      <w:r>
        <w:rPr>
          <w:color w:val="666666"/>
          <w:sz w:val="20"/>
          <w:szCs w:val="20"/>
        </w:rPr>
        <w:t xml:space="preserve">Step 4 of 4 — Business Recommendations</w:t>
      </w:r>
    </w:p>
    <w:p>
      <w:pPr>
        <w:pStyle w:val="Heading1"/>
      </w:pPr>
      <w:r>
        <w:t xml:space="preserve">Part 1 — Promotional Sunset Plan</w:t>
      </w:r>
    </w:p>
    <w:p>
      <w:pPr>
        <w:pStyle w:val="Heading2"/>
      </w:pPr>
      <w:r>
        <w:t xml:space="preserve">The Core Finding</w:t>
      </w:r>
    </w:p>
    <w:p>
      <w:pPr>
        <w:spacing w:after="160"/>
      </w:pPr>
      <w:r>
        <w:t xml:space="preserve">Full-price buyers (2,223 customers, 57% of the base) and full bargain hunters (1,677 customers, 43% of the base) show almost identical purchase history — 25.1 vs 25.7 previous purchases on average.</w:t>
      </w:r>
    </w:p>
    <w:p>
      <w:pPr>
        <w:pBdr>
          <w:left w:val="single" w:color="1E6091" w:sz="18" w:space="8"/>
        </w:pBdr>
        <w:spacing w:after="200" w:before="120"/>
        <w:ind w:left="200"/>
      </w:pPr>
      <w:r>
        <w:rPr>
          <w:b/>
          <w:bCs/>
          <w:color w:val="1E6091"/>
        </w:rPr>
        <w:t xml:space="preserve">Implication: </w:t>
      </w:r>
      <w:r>
        <w:t xml:space="preserve">Discounts are not converting deal-seekers into more loyal customers than full-price buyers already are. The brand is giving away margin on 43% of its customer base for limited measurable retention benefit.</w:t>
      </w:r>
    </w:p>
    <w:p>
      <w:pPr>
        <w:spacing w:after="160"/>
      </w:pPr>
      <w:r>
        <w:t xml:space="preserve">“Reduce discounts” is not a plan on its own. The segment chosen for sunsetting matters enormously — because the risk profile changes completely depending on whether the brand removes discounts from its most loyal customers or its least invested ones.</w:t>
      </w:r>
    </w:p>
    <w:p>
      <w:pPr>
        <w:pStyle w:val="Heading2"/>
      </w:pPr>
      <w:r>
        <w:t xml:space="preserve">Why the Sunset Segment Must Be Chosen Carefully</w:t>
      </w:r>
    </w:p>
    <w:p>
      <w:pPr>
        <w:spacing w:after="160"/>
      </w:pPr>
      <w:r>
        <w:t xml:space="preserve">An earlier version of this plan targeted the brand's most loyal, highest-tenure subscribers — customers with 39+ previous purchases and 4.49/5 satisfaction. On reflection, this is the wrong place to start:</w:t>
      </w:r>
    </w:p>
    <w:p>
      <w:pPr>
        <w:pStyle w:val="ListParagraph"/>
        <w:numPr>
          <w:ilvl w:val="0"/>
          <w:numId w:val="2"/>
        </w:numPr>
        <w:spacing w:after="80"/>
      </w:pPr>
      <w:r>
        <w:t xml:space="preserve">These customers have the most to lose if they feel the discount removal is a punishment for loyalty (a well-documented loss-aversion effect — losing something you already had feels worse than never having it).</w:t>
      </w:r>
    </w:p>
    <w:p>
      <w:pPr>
        <w:pStyle w:val="ListParagraph"/>
        <w:numPr>
          <w:ilvl w:val="0"/>
          <w:numId w:val="2"/>
        </w:numPr>
        <w:spacing w:after="80"/>
      </w:pPr>
      <w:r>
        <w:t xml:space="preserve">Their margin recovery potential is small relative to the relationship risk: roughly $814 across 51 customers.</w:t>
      </w:r>
    </w:p>
    <w:p>
      <w:pPr>
        <w:pStyle w:val="ListParagraph"/>
        <w:numPr>
          <w:ilvl w:val="0"/>
          <w:numId w:val="2"/>
        </w:numPr>
        <w:spacing w:after="80"/>
      </w:pPr>
      <w:r>
        <w:t xml:space="preserve">If even a few of these customers reduce frequency out of resentment, the brand could lose far more in revenue than the margin recovered.</w:t>
      </w:r>
    </w:p>
    <w:p>
      <w:pPr>
        <w:spacing w:after="160"/>
      </w:pPr>
      <w:r>
        <w:t xml:space="preserve">The revised plan instead targets the segment where the brand has the least to lose and the clearest test conditions.</w:t>
      </w:r>
    </w:p>
    <w:p>
      <w:pPr>
        <w:pStyle w:val="Heading2"/>
      </w:pPr>
      <w:r>
        <w:t xml:space="preserve">Segment to Sunset: Low-Tenure Full Bargain Hunters</w:t>
      </w:r>
    </w:p>
    <w:p>
      <w:pPr>
        <w:pStyle w:val="Heading3"/>
      </w:pPr>
      <w:r>
        <w:t xml:space="preserve">Who They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Segment size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270 customers (6.9% of the base)</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Previous purchases (avg)</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4.49</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Avg spend per transaction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$58.96</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Avg engagement tier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3.18 (roughly monthly)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Avg satisfaction rating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3.83 / 5.0</w:t>
            </w:r>
          </w:p>
        </w:tc>
      </w:tr>
      <w:tr>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Avg customer value score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266 (vs. 1,505 brand-wide average)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Current promo status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 discount + promo code on every order (Promo_Dependency_Score = 2)</w:t>
            </w:r>
          </w:p>
        </w:tc>
      </w:tr>
    </w:tbl>
    <w:p>
      <w:pPr>
        <w:pStyle w:val="Heading3"/>
      </w:pPr>
      <w:r>
        <w:t xml:space="preserve">Why This Segment Specifically</w:t>
      </w:r>
    </w:p>
    <w:p>
      <w:pPr>
        <w:spacing w:after="160"/>
      </w:pPr>
      <w:r>
        <w:t xml:space="preserve">These customers have an established relationship with neither the brand nor the discount — 4.49 previous purchases means most are on their second or third transaction. Their customer value score (266) is roughly one-sixth of the brand average. If discount reduction causes some of them to churn, the brand loses very little lifetime value. If they convert to partial or full price, it is close to pure margin gain.</w:t>
      </w:r>
    </w:p>
    <w:p>
      <w:pPr>
        <w:pBdr>
          <w:left w:val="single" w:color="1E6091" w:sz="18" w:space="8"/>
        </w:pBdr>
        <w:spacing w:after="200" w:before="120"/>
        <w:ind w:left="200"/>
      </w:pPr>
      <w:r>
        <w:rPr>
          <w:b/>
          <w:bCs/>
          <w:color w:val="1E6091"/>
        </w:rPr>
        <w:t xml:space="preserve">Compare to the high-tenure segment: </w:t>
      </w:r>
      <w:r>
        <w:t xml:space="preserve">39+ previous purchases, $79.66 avg spend, 4.49/5 satisfaction — the segment with the most to lose. The low-tenure segment inverts this: least to lose, clearest signal, lowest relationship risk.</w:t>
      </w:r>
    </w:p>
    <w:p>
      <w:pPr>
        <w:pStyle w:val="Heading3"/>
      </w:pPr>
      <w:r>
        <w:t xml:space="preserve">Trigger Behavior</w:t>
      </w:r>
    </w:p>
    <w:p>
      <w:pPr>
        <w:spacing w:after="160"/>
      </w:pPr>
      <w:r>
        <w:t xml:space="preserve">A customer qualifies for this sunset test if ALL of the following are true:</w:t>
      </w:r>
    </w:p>
    <w:p>
      <w:pPr>
        <w:pStyle w:val="ListParagraph"/>
        <w:numPr>
          <w:ilvl w:val="0"/>
          <w:numId w:val="2"/>
        </w:numPr>
        <w:spacing w:after="80"/>
      </w:pPr>
      <w:r>
        <w:t xml:space="preserve">Previous Purchases ≤ 8 (Low Value tier threshold)</w:t>
      </w:r>
    </w:p>
    <w:p>
      <w:pPr>
        <w:pStyle w:val="ListParagraph"/>
        <w:numPr>
          <w:ilvl w:val="0"/>
          <w:numId w:val="2"/>
        </w:numPr>
        <w:spacing w:after="80"/>
      </w:pPr>
      <w:r>
        <w:t xml:space="preserve">Promo_Dependency_Score = 2 (currently receiving both a discount and a promo code on every order)</w:t>
      </w:r>
    </w:p>
    <w:p>
      <w:pPr>
        <w:pStyle w:val="ListParagraph"/>
        <w:numPr>
          <w:ilvl w:val="0"/>
          <w:numId w:val="2"/>
        </w:numPr>
        <w:spacing w:after="80"/>
      </w:pPr>
      <w:r>
        <w:t xml:space="preserve">Not on their first purchase — acquisition discounts for brand-new customers remain untouched</w:t>
      </w:r>
    </w:p>
    <w:p>
      <w:pPr>
        <w:pStyle w:val="Heading3"/>
      </w:pPr>
      <w:r>
        <w:t xml:space="preserve">Rollout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6460"/>
      </w:tblGrid>
      <w:tr>
        <w:tc>
          <w:tcPr>
            <w:tcW w:type="dxa" w:w="14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Phase</w:t>
            </w:r>
          </w:p>
        </w:tc>
        <w:tc>
          <w:tcPr>
            <w:tcW w:type="dxa" w:w="15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Timeline</w:t>
            </w:r>
          </w:p>
        </w:tc>
        <w:tc>
          <w:tcPr>
            <w:tcW w:type="dxa" w:w="646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 1–2</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Split the 270-customer segment into a Test group (discount reduced by 50%) and a Control group (unchanged). This is an A/B test, not a full rollout.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Phase 2</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Month 3</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Compare repeat purchase rate, churn rate, and average order value between Test and Control.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Month 4</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If the Test group's repeat purchase rate is within 5 percentage points of Control, roll the 50% reduction out to the full segment. If it drops more than 10 points, revert and stop.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Phase 4</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Month 5–6</w:t>
            </w:r>
          </w:p>
        </w:tc>
        <w:tc>
          <w:tcPr>
            <w:tcW w:type="dxa" w:w="6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If Phase 3 succeeds, consider a second reduction step toward full price for this same segment. Separately — and on a different track — begin exploring a “reward reframing” approach (loyalty-tier perks rather than blanket discounts) for high-tenure customers. This is a distinct initiative, not discount removal.</w:t>
            </w:r>
          </w:p>
        </w:tc>
      </w:tr>
    </w:tbl>
    <w:p>
      <w:pPr>
        <w:pStyle w:val="Heading3"/>
      </w:pPr>
      <w:r>
        <w:t xml:space="preserve">Metric to Track</w:t>
      </w:r>
    </w:p>
    <w:p>
      <w:pPr>
        <w:pStyle w:val="ListParagraph"/>
        <w:numPr>
          <w:ilvl w:val="0"/>
          <w:numId w:val="2"/>
        </w:numPr>
        <w:spacing w:after="80"/>
      </w:pPr>
      <w:r>
        <w:t xml:space="preserve">Primary: Repeat purchase rate within 60 days, Test vs. Control. If the Test group's rate stays within 5 percentage points of Control, the discount was not the primary driver of repeat behavior for this segment — proceed.</w:t>
      </w:r>
    </w:p>
    <w:p>
      <w:pPr>
        <w:pStyle w:val="ListParagraph"/>
        <w:numPr>
          <w:ilvl w:val="0"/>
          <w:numId w:val="2"/>
        </w:numPr>
        <w:spacing w:after="80"/>
      </w:pPr>
      <w:r>
        <w:t xml:space="preserve">Secondary: Average order value (should hold steady or rise slightly as the discount is removed from the price calculation).</w:t>
      </w:r>
    </w:p>
    <w:p>
      <w:pPr>
        <w:pStyle w:val="ListParagraph"/>
        <w:numPr>
          <w:ilvl w:val="0"/>
          <w:numId w:val="2"/>
        </w:numPr>
        <w:spacing w:after="80"/>
      </w:pPr>
      <w:r>
        <w:t xml:space="preserve">Guardrail: If the Test group's repeat purchase rate drops more than 10 percentage points versus Control in any phase, pause and re-segment — this would indicate the discount mattered more for this group than the data suggested.</w:t>
      </w:r>
    </w:p>
    <w:p>
      <w:pPr>
        <w:pStyle w:val="Heading3"/>
      </w:pPr>
      <w:r>
        <w:t xml:space="preserve">Margin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Scenario</w:t>
            </w:r>
          </w:p>
        </w:tc>
        <w:tc>
          <w:tcPr>
            <w:tcW w:type="dxa" w:w="30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Estimated Margin Recovery</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 1 — 50% discount reduction across 270 customers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$1,592 per purchase cycle</w:t>
            </w:r>
          </w:p>
        </w:tc>
      </w:tr>
      <w:tr>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Phase 3+ — full discount removal across 270 customers (if Phase 1 succeeds)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$3,184 per purchase cycle</w:t>
            </w:r>
          </w:p>
        </w:tc>
      </w:tr>
    </w:tbl>
    <w:p>
      <w:pPr>
        <w:spacing w:after="160"/>
      </w:pPr>
      <w:r>
        <w:rPr>
          <w:i/>
          <w:iCs/>
          <w:color w:val="666666"/>
          <w:sz w:val="18"/>
          <w:szCs w:val="18"/>
        </w:rPr>
        <w:t xml:space="preserve">(Estimates assume an average discount depth of approximately 20% of purchase price, applied at 10% for the Phase 1 half-step and 20% for full removal.)</w:t>
      </w:r>
    </w:p>
    <w:p>
      <w:pPr>
        <w:pStyle w:val="Heading3"/>
      </w:pPr>
      <w:r>
        <w:t xml:space="preserve">Trade-Off</w:t>
      </w:r>
    </w:p>
    <w:p>
      <w:pPr>
        <w:pBdr>
          <w:left w:val="single" w:color="1E6091" w:sz="18" w:space="8"/>
        </w:pBdr>
        <w:spacing w:after="200" w:before="120"/>
        <w:ind w:left="200"/>
      </w:pPr>
      <w:r>
        <w:rPr>
          <w:b/>
          <w:bCs/>
          <w:color w:val="1E6091"/>
        </w:rPr>
        <w:t xml:space="preserve">What you risk: </w:t>
      </w:r>
      <w:r>
        <w:t xml:space="preserve">If a meaningful share of this segment churns rather than converting to reduced or full price, the brand loses the acquisition cost already spent on them with no future revenue — a sunk cost. However, because this segment's average value score (266) is already low, the ceiling on this loss is far smaller than it would be for a high-tenure segment. The A/B structure (Test vs. Control) is designed specifically to detect this early, in Phase 1–2, before any full rollout commits the brand further.</w:t>
      </w:r>
    </w:p>
    <w:p>
      <w:pPr>
        <w:pStyle w:val="Heading2"/>
      </w:pPr>
      <w:r>
        <w:t xml:space="preserve">Segment Deliberately NOT Included in This Sunset Plan</w:t>
      </w:r>
    </w:p>
    <w:p>
      <w:pPr>
        <w:spacing w:after="160"/>
      </w:pPr>
      <w:r>
        <w:t xml:space="preserve">The original high-tenure, high-satisfaction subscriber segment (51 customers, 39+ previous purchases, 4.49/5 satisfaction, currently receiving full discounts) is excluded from discount removal at this stage.</w:t>
      </w:r>
    </w:p>
    <w:p>
      <w:pPr>
        <w:pBdr>
          <w:left w:val="single" w:color="1E6091" w:sz="18" w:space="8"/>
        </w:pBdr>
        <w:spacing w:after="200" w:before="120"/>
        <w:ind w:left="200"/>
      </w:pPr>
      <w:r>
        <w:rPr>
          <w:b/>
          <w:bCs/>
          <w:color w:val="1E6091"/>
        </w:rPr>
        <w:t xml:space="preserve">Recommendation for this segment: </w:t>
      </w:r>
      <w:r>
        <w:t xml:space="preserve">Rather than removing their discount, reframe it as a named loyalty benefit (e.g. “VIP pricing” or “Loyalty Tier”) rather than a generic promo code. The dollar value may stay similar, but the framing shifts from “everyone gets this” to “you get this because you are valuable to us.” This protects the relationship while still giving the brand a way to differentiate loyal customers from new bargain hunters going forward. This is a separate initiative from the sunset plan above and should only begin after the low-tenure test in Phase 1–3 produces results.</w:t>
      </w:r>
    </w:p>
    <w:p>
      <w:r>
        <w:br w:type="page"/>
      </w:r>
    </w:p>
    <w:p>
      <w:pPr>
        <w:pStyle w:val="Heading1"/>
      </w:pPr>
      <w:r>
        <w:t xml:space="preserve">Part 2 — Ideal Customer Profile (ICP)</w:t>
      </w:r>
    </w:p>
    <w:p>
      <w:pPr>
        <w:pStyle w:val="Heading2"/>
      </w:pPr>
      <w:r>
        <w:t xml:space="preserve">Definition Used</w:t>
      </w:r>
    </w:p>
    <w:p>
      <w:pPr>
        <w:spacing w:after="160"/>
      </w:pPr>
      <w:r>
        <w:t xml:space="preserve">A customer qualifies as “ideal” if they meet all three criteria:</w:t>
      </w:r>
    </w:p>
    <w:p>
      <w:pPr>
        <w:pStyle w:val="ListParagraph"/>
        <w:numPr>
          <w:ilvl w:val="0"/>
          <w:numId w:val="2"/>
        </w:numPr>
        <w:spacing w:after="80"/>
      </w:pPr>
      <w:r>
        <w:t xml:space="preserve">Customer_Value_Tier = “High Value” (top 25% by value score)</w:t>
      </w:r>
    </w:p>
    <w:p>
      <w:pPr>
        <w:pStyle w:val="ListParagraph"/>
        <w:numPr>
          <w:ilvl w:val="0"/>
          <w:numId w:val="2"/>
        </w:numPr>
        <w:spacing w:after="80"/>
      </w:pPr>
      <w:r>
        <w:t xml:space="preserve">Discount_Free_Buyer = True (bought at full price, no discount, no promo code)</w:t>
      </w:r>
    </w:p>
    <w:p>
      <w:pPr>
        <w:pStyle w:val="ListParagraph"/>
        <w:numPr>
          <w:ilvl w:val="0"/>
          <w:numId w:val="2"/>
        </w:numPr>
        <w:spacing w:after="80"/>
      </w:pPr>
      <w:r>
        <w:t xml:space="preserve">Review Rating ≥ 4.0 (highly satisfied)</w:t>
      </w:r>
    </w:p>
    <w:p>
      <w:pPr>
        <w:spacing w:after="160"/>
      </w:pPr>
      <w:r>
        <w:t xml:space="preserve">251 customers (6.4% of the 3,900-customer base) meet this definition. These are customers who spend well, buy repeatedly, need no discount, and rate the brand highly.</w:t>
      </w:r>
    </w:p>
    <w:p>
      <w:pPr>
        <w:pStyle w:val="Heading2"/>
      </w:pPr>
      <w:r>
        <w:t xml:space="preserve">The Profile</w:t>
      </w:r>
    </w:p>
    <w:p>
      <w:pPr>
        <w:pStyle w:val="Heading3"/>
      </w:pPr>
      <w:r>
        <w:t xml:space="preserve">Demographics</w:t>
      </w:r>
    </w:p>
    <w:p>
      <w:pPr>
        <w:pStyle w:val="ListParagraph"/>
        <w:numPr>
          <w:ilvl w:val="0"/>
          <w:numId w:val="2"/>
        </w:numPr>
        <w:spacing w:after="80"/>
      </w:pPr>
      <w:r>
        <w:t xml:space="preserve">Average age: 43.2 years (range 18–70) — the average skews toward established, working professionals rather than younger trend-chasers.</w:t>
      </w:r>
    </w:p>
    <w:p>
      <w:pPr>
        <w:pStyle w:val="ListParagraph"/>
        <w:numPr>
          <w:ilvl w:val="0"/>
          <w:numId w:val="2"/>
        </w:numPr>
        <w:spacing w:after="80"/>
      </w:pPr>
      <w:r>
        <w:t xml:space="preserve">Gender split: nearly even — 51.8% female, 48.2% male. Avg spend: female $79.12, male $81.56 — male ICP customers spend marginally more per transaction.</w:t>
      </w:r>
    </w:p>
    <w:p>
      <w:pPr>
        <w:pStyle w:val="Heading3"/>
      </w:pPr>
      <w:r>
        <w:t xml:space="preserve">Purchase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400"/>
        <w:gridCol w:w="1600"/>
      </w:tblGrid>
      <w:tr>
        <w:tc>
          <w:tcPr>
            <w:tcW w:type="dxa" w:w="336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Metric</w:t>
            </w:r>
          </w:p>
        </w:tc>
        <w:tc>
          <w:tcPr>
            <w:tcW w:type="dxa" w:w="20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ICP Value</w:t>
            </w:r>
          </w:p>
        </w:tc>
        <w:tc>
          <w:tcPr>
            <w:tcW w:type="dxa" w:w="24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Brand-Wide Average</w:t>
            </w:r>
          </w:p>
        </w:tc>
        <w:tc>
          <w:tcPr>
            <w:tcW w:type="dxa" w:w="16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Difference</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Avg spend per transaction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$80.29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$59.76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+34%</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Avg previous purchases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39.82</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25.35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+57%</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Avg customer value score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3,164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+110%</w:t>
            </w:r>
          </w:p>
        </w:tc>
      </w:tr>
      <w:tr>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Avg satisfaction rating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4.49 / 5.0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3.75 / 5.0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+0.74</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Avg engagement tier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same</w:t>
            </w:r>
          </w:p>
        </w:tc>
      </w:tr>
    </w:tbl>
    <w:p>
      <w:pPr>
        <w:pStyle w:val="Heading3"/>
      </w:pPr>
      <w:r>
        <w:t xml:space="preserve">Category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 of ICP</w:t>
            </w:r>
          </w:p>
        </w:tc>
        <w:tc>
          <w:tcPr>
            <w:tcW w:type="dxa" w:w="25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Avg Spend within ICP</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Clothing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46.2%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$81.48</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Accessories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29.9%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$78.52</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Footwear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$78.90</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Outerwear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8.4%</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$82.67</w:t>
            </w:r>
          </w:p>
        </w:tc>
      </w:tr>
    </w:tbl>
    <w:p>
      <w:pPr>
        <w:spacing w:after="160"/>
      </w:pPr>
      <w:r>
        <w:t xml:space="preserve">Clothing dominates the ICP — nearly half of ideal customers buy in this category. Outerwear, while the smallest share, has the highest average spend within the ICP, suggesting it functions as a premium purchase for the brand's best customers rather than a high-volume category.</w:t>
      </w:r>
    </w:p>
    <w:p>
      <w:pPr>
        <w:pStyle w:val="Heading3"/>
      </w:pPr>
      <w:r>
        <w:t xml:space="preserve">Payment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 of ICP</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Cash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18.7%</w:t>
            </w:r>
          </w:p>
        </w:tc>
      </w:tr>
      <w:tr>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Credit Card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18.3%</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PayPal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17.5%</w:t>
            </w:r>
          </w:p>
        </w:tc>
      </w:tr>
      <w:tr>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Bank Transfer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15.9%</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Debit Card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15.1%</w:t>
            </w:r>
          </w:p>
        </w:tc>
      </w:tr>
      <w:tr>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Venmo</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14.3%</w:t>
            </w:r>
          </w:p>
        </w:tc>
      </w:tr>
    </w:tbl>
    <w:p>
      <w:pPr>
        <w:spacing w:after="160"/>
      </w:pPr>
      <w:r>
        <w:t xml:space="preserve">Payment method is fairly evenly distributed across the ICP — no single method dominates. Payment preference is not a strong standalone targeting signal, though Cash and Credit Card slightly over-index.</w:t>
      </w:r>
    </w:p>
    <w:p>
      <w:pPr>
        <w:pStyle w:val="Heading3"/>
      </w:pPr>
      <w:r>
        <w:t xml:space="preserve">Geography — Top States for ICP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State</w:t>
            </w:r>
          </w:p>
        </w:tc>
        <w:tc>
          <w:tcPr>
            <w:tcW w:type="dxa" w:w="25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ICP Customers</w:t>
            </w:r>
          </w:p>
        </w:tc>
        <w:tc>
          <w:tcPr>
            <w:tcW w:type="dxa" w:w="25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Avg Spend</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Michigan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$82.70</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Pennsylvania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$72.78</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New York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$66.78</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New Mexico</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$81.75</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Nevada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$83.13</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Georgia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$73.88</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Arizona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$84.13</w:t>
            </w:r>
          </w:p>
        </w:tc>
      </w:tr>
      <w:tr>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Alabama</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8</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$75.38</w:t>
            </w:r>
          </w:p>
        </w:tc>
      </w:tr>
    </w:tbl>
    <w:p>
      <w:pPr>
        <w:spacing w:after="160"/>
      </w:pPr>
      <w:r>
        <w:t xml:space="preserve">Arizona and Nevada show both high ICP customer counts and the highest average spend within the ICP ($84.13 and $83.13 respectively) — these states' best customers are exceptionally valuable even relative to other ICP customers nationally.</w:t>
      </w:r>
    </w:p>
    <w:p>
      <w:pPr>
        <w:pStyle w:val="Heading2"/>
      </w:pPr>
      <w:r>
        <w:t xml:space="preserve">The One-Line Summary</w:t>
      </w:r>
    </w:p>
    <w:p>
      <w:pPr>
        <w:pBdr>
          <w:left w:val="single" w:color="1E6091" w:sz="18" w:space="8"/>
        </w:pBdr>
        <w:spacing w:after="200" w:before="120"/>
        <w:ind w:left="200"/>
      </w:pPr>
      <w:r>
        <w:rPr>
          <w:b/>
          <w:bCs/>
          <w:color w:val="1E6091"/>
        </w:rPr>
        <w:t xml:space="preserve">For marketing briefs: </w:t>
      </w:r>
      <w:r>
        <w:t xml:space="preserve">Our ideal customer is a 40–50 year old professional, equally likely to be male or female, who buys Clothing at full price roughly once a month, spends around $80 per order, has made 35–45 purchases with us already, and rates their experience 4.5/5. They are concentrated in Arizona, Michigan, Nevada, and New Mexico — and they do not need a discount to convert.</w:t>
      </w:r>
    </w:p>
    <w:p>
      <w:pPr>
        <w:pStyle w:val="Heading2"/>
      </w:pPr>
      <w:r>
        <w:t xml:space="preserve">How to Acquire More of Them</w:t>
      </w:r>
    </w:p>
    <w:p>
      <w:pPr>
        <w:pStyle w:val="Heading3"/>
      </w:pPr>
      <w:r>
        <w:t xml:space="preserve">1. Lookalike Audience Targeting</w:t>
      </w:r>
    </w:p>
    <w:p>
      <w:pPr>
        <w:spacing w:after="160"/>
      </w:pPr>
      <w:r>
        <w:t xml:space="preserve">Build a lookalike audience on Meta/Google Ads based on the 251 ICP records: age range 35–55, geographic seeding from the top ICP states (especially Arizona, Nevada, Michigan), and interest signals around Clothing rather than Accessories or Footwear.</w:t>
      </w:r>
    </w:p>
    <w:p>
      <w:pPr>
        <w:pBdr>
          <w:left w:val="single" w:color="1E6091" w:sz="18" w:space="8"/>
        </w:pBdr>
        <w:spacing w:after="200" w:before="120"/>
        <w:ind w:left="200"/>
      </w:pPr>
      <w:r>
        <w:rPr>
          <w:b/>
          <w:bCs/>
          <w:color w:val="1E6091"/>
        </w:rPr>
        <w:t xml:space="preserve">Trade-off: </w:t>
      </w:r>
      <w:r>
        <w:t xml:space="preserve">A lookalike audience targeting a 6.4% slice of the base will have smaller reach and higher CPM than broad targeting. The justification is that ICP customers are worth roughly 2x the average — a higher acquisition cost per click is reasonable as long as it stays below roughly double the current blended CAC.</w:t>
      </w:r>
    </w:p>
    <w:p>
      <w:pPr>
        <w:pStyle w:val="Heading3"/>
      </w:pPr>
      <w:r>
        <w:t xml:space="preserve">2. Full-Price Anchor Campaigns in Fall</w:t>
      </w:r>
    </w:p>
    <w:p>
      <w:pPr>
        <w:spacing w:after="160"/>
      </w:pPr>
      <w:r>
        <w:t xml:space="preserve">Fall has the lowest promo dependency (0.81) and highest full-price buyer rate (59.3%) of any season. Launching ICP-targeted campaigns in Fall with zero discount codes aligns with the exact full-price behavior the ICP already demonstrates.</w:t>
      </w:r>
    </w:p>
    <w:p>
      <w:pPr>
        <w:pBdr>
          <w:left w:val="single" w:color="1E6091" w:sz="18" w:space="8"/>
        </w:pBdr>
        <w:spacing w:after="200" w:before="120"/>
        <w:ind w:left="200"/>
      </w:pPr>
      <w:r>
        <w:rPr>
          <w:b/>
          <w:bCs/>
          <w:color w:val="1E6091"/>
        </w:rPr>
        <w:t xml:space="preserve">Trade-off: </w:t>
      </w:r>
      <w:r>
        <w:t xml:space="preserve">Removing the discount lever also removes a common urgency mechanism (limited-time offers). The brand will need an alternative urgency driver — such as limited stock framing or early-access windows — which may require inventory planning not currently in place.</w:t>
      </w:r>
    </w:p>
    <w:p>
      <w:pPr>
        <w:pStyle w:val="Heading3"/>
      </w:pPr>
      <w:r>
        <w:t xml:space="preserve">3. Outerwear as a Premium Upsell, Not an Acquisition Category</w:t>
      </w:r>
    </w:p>
    <w:p>
      <w:pPr>
        <w:spacing w:after="160"/>
      </w:pPr>
      <w:r>
        <w:t xml:space="preserve">Outerwear represents only 8.4% of the ICP by volume but has the highest average spend ($82.67) within it. Rather than running acquisition campaigns in Outerwear — where it also has the highest new-customer share (18.2%) — use it as a post-purchase upsell for customers who have already bought Clothing or Accessories at least twice.</w:t>
      </w:r>
    </w:p>
    <w:p>
      <w:pPr>
        <w:pBdr>
          <w:left w:val="single" w:color="1E6091" w:sz="18" w:space="8"/>
        </w:pBdr>
        <w:spacing w:after="200" w:before="120"/>
        <w:ind w:left="200"/>
      </w:pPr>
      <w:r>
        <w:rPr>
          <w:b/>
          <w:bCs/>
          <w:color w:val="1E6091"/>
        </w:rPr>
        <w:t xml:space="preserve">Trade-off: </w:t>
      </w:r>
      <w:r>
        <w:t xml:space="preserve">This narrows the audience for Outerwear marketing from a broad campaign to a retargeting/email-flow exercise. If the brand was counting on Outerwear as a volume acquisition driver, this recommendation trades short-term reach for long-term margin quality.</w:t>
      </w:r>
    </w:p>
    <w:p>
      <w:r>
        <w:br w:type="page"/>
      </w:r>
    </w:p>
    <w:p>
      <w:pPr>
        <w:pStyle w:val="Heading1"/>
      </w:pPr>
      <w:r>
        <w:t xml:space="preserve">Part 3 — Summary for the Founding Team</w:t>
      </w:r>
    </w:p>
    <w:p>
      <w:pPr>
        <w:pStyle w:val="Heading2"/>
      </w:pPr>
      <w: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Metric</w:t>
            </w:r>
          </w:p>
        </w:tc>
        <w:tc>
          <w:tcPr>
            <w:tcW w:type="dxa" w:w="3000"/>
            <w:tcBorders>
              <w:top w:val="single" w:color="CCCCCC" w:sz="1"/>
              <w:left w:val="single" w:color="CCCCCC" w:sz="1"/>
              <w:bottom w:val="single" w:color="CCCCCC" w:sz="1"/>
              <w:right w:val="single" w:color="CCCCCC" w:sz="1"/>
            </w:tcBorders>
            <w:shd w:fill="1E6091" w:val="clear"/>
            <w:tcMar>
              <w:top w:type="dxa" w:w="80"/>
              <w:left w:type="dxa" w:w="120"/>
              <w:bottom w:type="dxa" w:w="80"/>
              <w:right w:type="dxa" w:w="120"/>
            </w:tcMar>
          </w:tcPr>
          <w:p>
            <w:r>
              <w:rPr>
                <w:b/>
                <w:bCs/>
                <w:color w:val="FFFFFF"/>
                <w:sz w:val="20"/>
                <w:szCs w:val="20"/>
              </w:rPr>
              <w:t xml:space="preserve">Value</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customers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3,900</w:t>
            </w:r>
          </w:p>
        </w:tc>
      </w:tr>
      <w:tr>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High Value tier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975 (25%)</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Full-price buyers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2,223 (57%)</w:t>
            </w:r>
          </w:p>
        </w:tc>
      </w:tr>
      <w:tr>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Full bargain hunters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1,677 (43%)</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Ideal Customer Profile (ICP)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251 (6.4%)</w:t>
            </w:r>
          </w:p>
        </w:tc>
      </w:tr>
      <w:tr>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Sunset test segment (low-tenure bargain hunters)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270 (6.9%)</w:t>
            </w:r>
          </w:p>
        </w:tc>
      </w:tr>
      <w:tr>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Estimated Phase 1 margin recovery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$1,592 per cycle</w:t>
            </w:r>
          </w:p>
        </w:tc>
      </w:tr>
      <w:tr>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Estimated full-removal margin recovery (if Phase 1 succeeds)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sz w:val="20"/>
                <w:szCs w:val="20"/>
              </w:rPr>
              <w:t xml:space="preserve">$3,184 per cycle</w:t>
            </w:r>
          </w:p>
        </w:tc>
      </w:tr>
    </w:tbl>
    <w:p>
      <w:pPr>
        <w:pStyle w:val="Heading2"/>
      </w:pPr>
      <w:r>
        <w:t xml:space="preserve">The One Decision to Make This Quarter</w:t>
      </w:r>
    </w:p>
    <w:p>
      <w:pPr>
        <w:spacing w:after="160"/>
      </w:pPr>
      <w:r>
        <w:t xml:space="preserve">Begin the Phase 1 A/B test on the 270-customer low-tenure bargain hunter segment described in Part 1: a 50% discount reduction for a Test group, compared against an unchanged Control group, over one purchase cycle.</w:t>
      </w:r>
    </w:p>
    <w:p>
      <w:pPr>
        <w:spacing w:after="160"/>
      </w:pPr>
      <w:r>
        <w:t xml:space="preserve">This is a small, low-risk test (under 7% of the customer base) targeting the segment with the least to lose. It will validate or invalidate the brand's core assumption — that promotions are necessary to retain these customers — with real before/after evidence rather than a one-time snapshot.</w:t>
      </w:r>
    </w:p>
    <w:p>
      <w:pPr>
        <w:pBdr>
          <w:left w:val="single" w:color="1E6091" w:sz="18" w:space="8"/>
        </w:pBdr>
        <w:spacing w:after="200" w:before="120"/>
        <w:ind w:left="200"/>
      </w:pPr>
      <w:r>
        <w:rPr>
          <w:b/>
          <w:bCs/>
          <w:color w:val="1E6091"/>
        </w:rPr>
        <w:t xml:space="preserve">If the test succeeds: </w:t>
      </w:r>
      <w:r>
        <w:t xml:space="preserve">It opens the door to a larger rollout across the broader 1,677-customer bargain hunter population, and — separately — to the loyalty-reframing initiative for high-tenure subscribers described in Part 1. Both of those should wait until this test produces at least 60 days of data.</w:t>
      </w:r>
    </w:p>
    <w:p>
      <w:pPr>
        <w:pBdr>
          <w:top w:val="single" w:color="CCCCCC" w:sz="6" w:space="4"/>
        </w:pBdr>
        <w:spacing w:before="300"/>
      </w:pPr>
      <w:r>
        <w:rPr>
          <w:i/>
          <w:iCs/>
          <w:color w:val="666666"/>
          <w:sz w:val="18"/>
          <w:szCs w:val="18"/>
        </w:rPr>
        <w:t xml:space="preserve">End of Retention Playbook — Step 4 of 4. All four deliverables (Python feature engineering, SQL segmentation, Power BI dashboard, Retention Playbook) are now complete.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E6091"/>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1E6091"/>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2026-06-14T09:20:27.559Z</dcterms:created>
  <dcterms:modified xsi:type="dcterms:W3CDTF">2026-06-14T09:20:27.559Z</dcterms:modified>
</cp:coreProperties>
</file>

<file path=docProps/custom.xml><?xml version="1.0" encoding="utf-8"?>
<Properties xmlns="http://schemas.openxmlformats.org/officeDocument/2006/custom-properties" xmlns:vt="http://schemas.openxmlformats.org/officeDocument/2006/docPropsVTypes"/>
</file>