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042860" w:rsidP="00042860">
            <w:pPr>
              <w:rPr>
                <w:rFonts w:ascii="Times New Roman" w:hAnsi="Times New Roman" w:cs="Times New Roman"/>
              </w:rPr>
            </w:pPr>
            <w:r w:rsidRPr="00042860">
              <w:rPr>
                <w:rFonts w:ascii="Times New Roman" w:hAnsi="Times New Roman" w:cs="Times New Roman"/>
              </w:rPr>
              <w:t>An empirical stu</w:t>
            </w:r>
            <w:r>
              <w:rPr>
                <w:rFonts w:ascii="Times New Roman" w:hAnsi="Times New Roman" w:cs="Times New Roman"/>
              </w:rPr>
              <w:t xml:space="preserve">dy of game reviews on the Steam </w:t>
            </w:r>
            <w:r w:rsidRPr="00042860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042860" w:rsidP="00A70A68">
            <w:pPr>
              <w:rPr>
                <w:rFonts w:ascii="NimbusRomNo9L-Regu" w:eastAsiaTheme="minorEastAsia" w:hAnsi="NimbusRomNo9L-Regu" w:cs="NimbusRomNo9L-Regu"/>
              </w:rPr>
            </w:pPr>
            <w:r>
              <w:rPr>
                <w:rFonts w:ascii="NimbusRomNo9L-Regu" w:eastAsiaTheme="minorEastAsia" w:hAnsi="NimbusRomNo9L-Regu" w:cs="NimbusRomNo9L-Regu"/>
              </w:rPr>
              <w:t>Dayi Lin</w:t>
            </w:r>
            <w:r w:rsidR="002034B7">
              <w:rPr>
                <w:rFonts w:ascii="NimbusRomNo9L-Regu" w:eastAsiaTheme="minorEastAsia" w:hAnsi="NimbusRomNo9L-Regu" w:cs="NimbusRomNo9L-Regu"/>
              </w:rPr>
              <w:t xml:space="preserve">, </w:t>
            </w:r>
            <w:r>
              <w:rPr>
                <w:rFonts w:ascii="NimbusRomNo9L-Regu" w:eastAsiaTheme="minorEastAsia" w:hAnsi="NimbusRomNo9L-Regu" w:cs="NimbusRomNo9L-Regu"/>
              </w:rPr>
              <w:t>Cor-Paul Bezemer</w:t>
            </w:r>
            <w:r w:rsidR="002034B7">
              <w:rPr>
                <w:rFonts w:ascii="NimbusRomNo9L-Regu" w:eastAsiaTheme="minorEastAsia" w:hAnsi="NimbusRomNo9L-Regu" w:cs="NimbusRomNo9L-Regu"/>
              </w:rPr>
              <w:t xml:space="preserve">, </w:t>
            </w:r>
            <w:r>
              <w:rPr>
                <w:rFonts w:ascii="NimbusRomNo9L-Regu" w:eastAsiaTheme="minorEastAsia" w:hAnsi="NimbusRomNo9L-Regu" w:cs="NimbusRomNo9L-Regu"/>
              </w:rPr>
              <w:t xml:space="preserve">Ying Zou, </w:t>
            </w:r>
            <w:r w:rsidRPr="00042860">
              <w:rPr>
                <w:rFonts w:ascii="NimbusRomNo9L-Regu" w:eastAsiaTheme="minorEastAsia" w:hAnsi="NimbusRomNo9L-Regu" w:cs="NimbusRomNo9L-Regu"/>
              </w:rPr>
              <w:t xml:space="preserve">Ahmed </w:t>
            </w:r>
            <w:r>
              <w:rPr>
                <w:rFonts w:ascii="NimbusRomNo9L-Regu" w:eastAsiaTheme="minorEastAsia" w:hAnsi="NimbusRomNo9L-Regu" w:cs="NimbusRomNo9L-Regu"/>
              </w:rPr>
              <w:t>E. Hassan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80705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4C5D7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4C5D7F">
              <w:rPr>
                <w:rFonts w:ascii="Times New Roman" w:hAnsi="Times New Roman" w:cs="Times New Roman"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5A722B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5A722B">
              <w:rPr>
                <w:rFonts w:ascii="Times New Roman" w:hAnsi="Times New Roman" w:cs="Times New Roman"/>
                <w:b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036C14" w:rsidRPr="003D32B4" w:rsidRDefault="003D32B4" w:rsidP="003D32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3D32B4">
              <w:rPr>
                <w:rFonts w:ascii="Times New Roman" w:eastAsiaTheme="minorEastAsia" w:hAnsi="Times New Roman" w:cs="Times New Roman"/>
              </w:rPr>
              <w:t>E</w:t>
            </w:r>
            <w:r w:rsidRPr="003D32B4">
              <w:rPr>
                <w:rFonts w:ascii="Times New Roman" w:eastAsiaTheme="minorEastAsia" w:hAnsi="Times New Roman" w:cs="Times New Roman"/>
              </w:rPr>
              <w:t>mpirical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D32B4">
              <w:rPr>
                <w:rFonts w:ascii="Times New Roman" w:eastAsiaTheme="minorEastAsia" w:hAnsi="Times New Roman" w:cs="Times New Roman"/>
              </w:rPr>
              <w:t>study of the reviews of 6224 games on the Steam platform, one of the most popular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D32B4">
              <w:rPr>
                <w:rFonts w:ascii="Times New Roman" w:eastAsiaTheme="minorEastAsia" w:hAnsi="Times New Roman" w:cs="Times New Roman"/>
              </w:rPr>
              <w:t>digital game delivery platforms, to better understand if game reviews share similar characteristics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D32B4">
              <w:rPr>
                <w:rFonts w:ascii="Times New Roman" w:eastAsiaTheme="minorEastAsia" w:hAnsi="Times New Roman" w:cs="Times New Roman"/>
              </w:rPr>
              <w:t>with mobile app reviews</w:t>
            </w:r>
            <w:r w:rsidR="009460DB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25666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63101E" wp14:editId="666DFB1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25666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70213E" wp14:editId="53B82961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F93B08" w:rsidP="00967EB0">
            <w:pPr>
              <w:jc w:val="center"/>
              <w:rPr>
                <w:rFonts w:ascii="Times New Roman" w:hAnsi="Times New Roman" w:cs="Times New Roman"/>
              </w:rPr>
            </w:pPr>
            <w:r w:rsidRPr="00501CCE">
              <w:rPr>
                <w:rFonts w:ascii="Times New Roman" w:hAnsi="Times New Roman" w:cs="Times New Roman"/>
              </w:rPr>
              <w:t>6224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5C559B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empirical study of the game reviews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975E0B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8454A2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D96D0E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B774F">
              <w:rPr>
                <w:rFonts w:ascii="Times New Roman" w:hAnsi="Times New Roman" w:cs="Times New Roman"/>
                <w:b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6B774F">
              <w:rPr>
                <w:rFonts w:ascii="Times New Roman" w:hAnsi="Times New Roman" w:cs="Times New Roman"/>
                <w:b/>
              </w:rPr>
              <w:t>Case Study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Controlled</w:t>
            </w:r>
            <w:r w:rsidR="00DA16B8" w:rsidRPr="006B774F">
              <w:rPr>
                <w:rFonts w:ascii="Times New Roman" w:hAnsi="Times New Roman" w:cs="Times New Roman"/>
              </w:rPr>
              <w:t xml:space="preserve"> Experiment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6B774F">
              <w:rPr>
                <w:rFonts w:ascii="Times New Roman" w:hAnsi="Times New Roman" w:cs="Times New Roman"/>
                <w:b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8454A2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6B774F">
              <w:rPr>
                <w:rFonts w:ascii="Times New Roman" w:hAnsi="Times New Roman" w:cs="Times New Roman"/>
                <w:b/>
              </w:rPr>
              <w:t>Both</w:t>
            </w:r>
            <w:r w:rsidRPr="0082565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AD6C83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and complexity of reviews</w:t>
            </w:r>
            <w:bookmarkStart w:id="0" w:name="_GoBack"/>
            <w:bookmarkEnd w:id="0"/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4C5D7F" w:rsidRDefault="004C5D7F" w:rsidP="004C5D7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C5D7F">
              <w:rPr>
                <w:rFonts w:ascii="Times New Roman" w:hAnsi="Times New Roman" w:cs="Times New Roman"/>
              </w:rPr>
              <w:t>studied reviews that were written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5D7F">
              <w:rPr>
                <w:rFonts w:ascii="Times New Roman" w:hAnsi="Times New Roman" w:cs="Times New Roman"/>
              </w:rPr>
              <w:t>in English for the research questions that involve the contents of reviews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16E87" w:rsidRPr="004C5D7F" w:rsidRDefault="004C5D7F" w:rsidP="004C5D7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4C5D7F">
              <w:rPr>
                <w:rFonts w:ascii="Times New Roman" w:hAnsi="Times New Roman" w:cs="Times New Roman"/>
              </w:rPr>
              <w:t>nly collected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5D7F">
              <w:rPr>
                <w:rFonts w:ascii="Times New Roman" w:hAnsi="Times New Roman" w:cs="Times New Roman"/>
              </w:rPr>
              <w:t>one month of reviews that have an accurate number of playing hours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634820" w:rsidRDefault="00F93B08" w:rsidP="00501C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study</w:t>
            </w:r>
            <w:r w:rsidR="00501C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performs</w:t>
            </w:r>
            <w:r w:rsidR="00501CCE">
              <w:rPr>
                <w:rFonts w:ascii="Times New Roman" w:hAnsi="Times New Roman" w:cs="Times New Roman"/>
              </w:rPr>
              <w:t xml:space="preserve"> an empirical </w:t>
            </w:r>
            <w:r w:rsidR="00501CCE" w:rsidRPr="00501CCE">
              <w:rPr>
                <w:rFonts w:ascii="Times New Roman" w:hAnsi="Times New Roman" w:cs="Times New Roman"/>
              </w:rPr>
              <w:t>study of the reviews of 6224 games on the Steam pl</w:t>
            </w:r>
            <w:r w:rsidR="00501CCE">
              <w:rPr>
                <w:rFonts w:ascii="Times New Roman" w:hAnsi="Times New Roman" w:cs="Times New Roman"/>
              </w:rPr>
              <w:t xml:space="preserve">atform, one of the most popular </w:t>
            </w:r>
            <w:r w:rsidR="00501CCE" w:rsidRPr="00501CCE">
              <w:rPr>
                <w:rFonts w:ascii="Times New Roman" w:hAnsi="Times New Roman" w:cs="Times New Roman"/>
              </w:rPr>
              <w:t>digital game delivery platforms, to better understand if game review</w:t>
            </w:r>
            <w:r w:rsidR="00501CCE">
              <w:rPr>
                <w:rFonts w:ascii="Times New Roman" w:hAnsi="Times New Roman" w:cs="Times New Roman"/>
              </w:rPr>
              <w:t xml:space="preserve">s share similar characteristics </w:t>
            </w:r>
            <w:r w:rsidR="00501CCE" w:rsidRPr="00501CCE">
              <w:rPr>
                <w:rFonts w:ascii="Times New Roman" w:hAnsi="Times New Roman" w:cs="Times New Roman"/>
              </w:rPr>
              <w:t>with mobile app reviews, and thereby underst</w:t>
            </w:r>
            <w:r w:rsidR="00501CCE">
              <w:rPr>
                <w:rFonts w:ascii="Times New Roman" w:hAnsi="Times New Roman" w:cs="Times New Roman"/>
              </w:rPr>
              <w:t xml:space="preserve">and whether the conclusions and </w:t>
            </w:r>
            <w:r w:rsidR="00501CCE" w:rsidRPr="00501CCE">
              <w:rPr>
                <w:rFonts w:ascii="Times New Roman" w:hAnsi="Times New Roman" w:cs="Times New Roman"/>
              </w:rPr>
              <w:t>tools from mobile app review studies can be leveraged by ga</w:t>
            </w:r>
            <w:r w:rsidR="00501CCE">
              <w:rPr>
                <w:rFonts w:ascii="Times New Roman" w:hAnsi="Times New Roman" w:cs="Times New Roman"/>
              </w:rPr>
              <w:t xml:space="preserve">me developers. In addition, new </w:t>
            </w:r>
            <w:r w:rsidR="00501CCE" w:rsidRPr="00501CCE">
              <w:rPr>
                <w:rFonts w:ascii="Times New Roman" w:hAnsi="Times New Roman" w:cs="Times New Roman"/>
              </w:rPr>
              <w:t>insights from game reviews could possibly open up new rese</w:t>
            </w:r>
            <w:r w:rsidR="00501CCE">
              <w:rPr>
                <w:rFonts w:ascii="Times New Roman" w:hAnsi="Times New Roman" w:cs="Times New Roman"/>
              </w:rPr>
              <w:t xml:space="preserve">arch directions for research of </w:t>
            </w:r>
            <w:r w:rsidR="00501CCE" w:rsidRPr="00501CCE">
              <w:rPr>
                <w:rFonts w:ascii="Times New Roman" w:hAnsi="Times New Roman" w:cs="Times New Roman"/>
              </w:rPr>
              <w:t>mobile app reviews</w:t>
            </w:r>
            <w:r w:rsidR="00501CCE">
              <w:rPr>
                <w:rFonts w:ascii="Times New Roman" w:hAnsi="Times New Roman" w:cs="Times New Roman"/>
              </w:rPr>
              <w:t>.</w:t>
            </w:r>
          </w:p>
          <w:p w:rsidR="00501CCE" w:rsidRPr="0067097A" w:rsidRDefault="00501CCE" w:rsidP="00501CC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73B6"/>
    <w:rsid w:val="0007396A"/>
    <w:rsid w:val="00093CFF"/>
    <w:rsid w:val="000A2C01"/>
    <w:rsid w:val="000A5BF1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25CB5"/>
    <w:rsid w:val="00227647"/>
    <w:rsid w:val="0025666E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66DF"/>
    <w:rsid w:val="006A72E8"/>
    <w:rsid w:val="006B6335"/>
    <w:rsid w:val="006B774F"/>
    <w:rsid w:val="006C664A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82CD6"/>
    <w:rsid w:val="00A85AC2"/>
    <w:rsid w:val="00A9194C"/>
    <w:rsid w:val="00A93393"/>
    <w:rsid w:val="00AC0CAE"/>
    <w:rsid w:val="00AD6C83"/>
    <w:rsid w:val="00AE0179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7633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39FE1-5B21-4358-9685-F12C3D8C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331</cp:revision>
  <cp:lastPrinted>2021-11-15T05:54:00Z</cp:lastPrinted>
  <dcterms:created xsi:type="dcterms:W3CDTF">2021-10-24T09:04:00Z</dcterms:created>
  <dcterms:modified xsi:type="dcterms:W3CDTF">2021-12-12T17:56:00Z</dcterms:modified>
</cp:coreProperties>
</file>