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AAAPURTI RENEWABLE ENERGY INDIA PRIVATE LIMITED</w:t>
      </w:r>
    </w:p>
    <w:p>
      <w:pPr>
        <w:jc w:val="both"/>
      </w:pPr>
      <w:r>
        <w:t>CIN: U52100DL2018PTC334120</w:t>
      </w:r>
    </w:p>
    <w:p>
      <w:pPr>
        <w:jc w:val="both"/>
      </w:pPr>
      <w:r>
        <w:t>Unit at: Warehouse No. 12, Part-G, Survey Nos. 161 and 162, Free Trade Warehousing Zone of M/s NDR Infrastructure Private Limited, Nandiambakkam Port Road, Chennai, Tiruvallur District, Tamil Nadu - 600 120</w:t>
      </w:r>
    </w:p>
    <w:p>
      <w:pPr>
        <w:pStyle w:val="Heading1"/>
      </w:pPr>
      <w:r>
        <w:t>STATEMENT OF GRIEVANCES</w:t>
      </w:r>
    </w:p>
    <w:p>
      <w:pPr>
        <w:pStyle w:val="Heading2"/>
      </w:pPr>
      <w:r>
        <w:t>The grievances of Aaapurti Renewable Energy India Private Limited arising out of the action of the Special Intelligence and Investigation Branch in respect of Blister Copper imported under Z-type Bills of Entry Nos. 2875354 and 2875203 both dated 01.08.2026 — the facts, and the law upon each grievance</w:t>
      </w:r>
    </w:p>
    <w:p>
      <w:pPr>
        <w:jc w:val="both"/>
      </w:pPr>
      <w:r>
        <w:rPr>
          <w:b/>
        </w:rPr>
        <w:t>Dated: 11.08.2026</w:t>
      </w:r>
    </w:p>
    <w:p>
      <w:pPr>
        <w:jc w:val="both"/>
      </w:pPr>
      <w:r>
        <w:t>*</w:t>
      </w:r>
      <w:r>
        <w:rPr>
          <w:i/>
        </w:rPr>
        <w:t xml:space="preserve">Confidential — prepared for the Board of the Company and for Counsel. Not a pleading. Every fact stated in Part I is drawn from a document on the Company's file or from the Company's own e-mail record, and the source is identified. Legal characterisation is confined to Part II and is expressly identified as such. Part IV states what is </w:t>
      </w:r>
      <w:r>
        <w:t>not</w:t>
      </w:r>
      <w:r>
        <w:rPr>
          <w:i/>
        </w:rPr>
        <w:t xml:space="preserve"> established and is not to be pleaded as fact.</w:t>
      </w:r>
      <w:r>
        <w:t>*</w:t>
      </w:r>
    </w:p>
    <w:p>
      <w:pPr>
        <w:pStyle w:val="Heading2"/>
      </w:pPr>
      <w:r>
        <w:t>PART I — THE FACTS</w:t>
      </w:r>
    </w:p>
    <w:p>
      <w:pPr>
        <w:pStyle w:val="Heading3"/>
      </w:pPr>
      <w:r>
        <w:t>A. The Company, the Unit and its charter</w:t>
      </w:r>
    </w:p>
    <w:p>
      <w:pPr>
        <w:pStyle w:val="ListNumber"/>
      </w:pPr>
      <w:r>
        <w:t xml:space="preserve">The Company is a unit in the Free Trade Warehousing Zone of M/s NDR Infrastructure Private Limited at Nandiambakkam, Tiruvallur District, Tamil Nadu, holding a Letter of Approval bearing </w:t>
      </w:r>
      <w:r>
        <w:rPr>
          <w:b/>
        </w:rPr>
        <w:t>F.No. 08/45/2025-NDR FTWZ-SEZ dated 22.10.2025</w:t>
      </w:r>
      <w:r>
        <w:t xml:space="preserve"> issued by the Office of the Development Commissioner, MEPZ Special Economic Zone, on the decision of the Unit Approval Committee taken on 22.10.2025. The authorised operation is </w:t>
      </w:r>
      <w:r>
        <w:rPr>
          <w:i/>
        </w:rPr>
        <w:t>"Warehousing and Logistics Service including Permissible Value Added Services under SEZ Act 2005 and SEZ Rules 2006"</w:t>
      </w:r>
      <w:r>
        <w:t xml:space="preserve">. Condition (iv) permits the Company to </w:t>
      </w:r>
      <w:r>
        <w:rPr>
          <w:i/>
        </w:rPr>
        <w:t>"import or procure from the Domestic Tariff Area all the items required for your authorized operations under this approval, except those prohibited under the ITC (HS) Classifications of Export and import items"</w:t>
      </w:r>
      <w:r>
        <w:t xml:space="preserve">. The Letter of Approval is endorsed to the Specified Officer, Chennai-IV, to the Authorised Officer, NDR Infrastructure FTWZ, and to the Developer — </w:t>
      </w:r>
      <w:r>
        <w:rPr>
          <w:b/>
        </w:rPr>
        <w:t>and to no other Customs formation</w:t>
      </w:r>
      <w:r>
        <w:t>.</w:t>
      </w:r>
    </w:p>
    <w:p>
      <w:pPr>
        <w:pStyle w:val="ListNumber"/>
      </w:pPr>
      <w:r>
        <w:t xml:space="preserve">The Company holds and warehouses goods for its client </w:t>
      </w:r>
      <w:r>
        <w:rPr>
          <w:b/>
        </w:rPr>
        <w:t>M/s Gemtec Jewellery FZE, Hamriyah Free Zone, Sharjah, United Arab Emirates</w:t>
      </w:r>
      <w:r>
        <w:t>. The goods in question belong to that client. The Company is answerable to it for their safe custody and for the service the Letter of Approval authorises it to render.</w:t>
      </w:r>
    </w:p>
    <w:p>
      <w:pPr>
        <w:pStyle w:val="ListNumber"/>
      </w:pPr>
      <w:r>
        <w:t xml:space="preserve">The commodity is </w:t>
      </w:r>
      <w:r>
        <w:rPr>
          <w:b/>
        </w:rPr>
        <w:t>Blister Copper falling under CTH 7402 0010</w:t>
      </w:r>
      <w:r>
        <w:t xml:space="preserve">. The Company has cleared eighteen prior consignments of the same commodity through the same route. The Development Commissioner's office has issued a Standard Operating Procedure specifically for this commodity — </w:t>
      </w:r>
      <w:r>
        <w:rPr>
          <w:i/>
        </w:rPr>
        <w:t>"Clearance of Blister Copper under CTH 7402"</w:t>
      </w:r>
      <w:r>
        <w:t xml:space="preserve">, </w:t>
      </w:r>
      <w:r>
        <w:rPr>
          <w:b/>
        </w:rPr>
        <w:t>F.No. MEPZ-MSM043(C)/226/2025-SEZ Chennai (e-file No. I/131691/2026)</w:t>
      </w:r>
      <w:r>
        <w:t xml:space="preserve"> — which places examination and sampling in the hands of the </w:t>
      </w:r>
      <w:r>
        <w:rPr>
          <w:b/>
        </w:rPr>
        <w:t>Authorised Officer at the time of warehousing</w:t>
      </w:r>
      <w:r>
        <w:t xml:space="preserve">, requires three representative tamper-proof sample sets with sample identification marks, seal numbers, Bill of Entry particulars and package references recorded in the examination report, one set to CRCL, one to a NABL-accredited laboratory and the third retained by the Authorised Officer, Out of Charge on receipt of one report, and by clause 10 permits </w:t>
      </w:r>
      <w:r>
        <w:rPr>
          <w:b/>
        </w:rPr>
        <w:t>no deviation except with written reasons approved by the competent authority</w:t>
      </w:r>
      <w:r>
        <w:t>.</w:t>
      </w:r>
    </w:p>
    <w:p>
      <w:pPr>
        <w:pStyle w:val="Heading3"/>
      </w:pPr>
      <w:r>
        <w:t>B. The earlier episode of February–March 2026 — the same unit, the same commodity, the same question, already tested and released</w:t>
      </w:r>
    </w:p>
    <w:p>
      <w:pPr>
        <w:jc w:val="both"/>
      </w:pPr>
      <w:r>
        <w:rPr>
          <w:i/>
        </w:rPr>
        <w:t>(Source: the Company's own mailbox, each message opened and read; the CRCL reports and covering letter are on file.)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Date</w:t>
            </w:r>
          </w:p>
        </w:tc>
        <w:tc>
          <w:tcPr>
            <w:tcW w:type="dxa" w:w="3120"/>
          </w:tcPr>
          <w:p>
            <w:r>
              <w:rPr>
                <w:b/>
              </w:rPr>
            </w:r>
            <w:r>
              <w:rPr>
                <w:b/>
              </w:rPr>
              <w:t>Time</w:t>
            </w:r>
          </w:p>
        </w:tc>
        <w:tc>
          <w:tcPr>
            <w:tcW w:type="dxa" w:w="3120"/>
          </w:tcPr>
          <w:p>
            <w:r>
              <w:rPr>
                <w:b/>
              </w:rPr>
            </w:r>
            <w:r>
              <w:rPr>
                <w:b/>
              </w:rPr>
              <w:t>Event</w:t>
            </w:r>
          </w:p>
        </w:tc>
      </w:tr>
      <w:tr>
        <w:tc>
          <w:tcPr>
            <w:tcW w:type="dxa" w:w="3120"/>
          </w:tcPr>
          <w:p>
            <w:r/>
            <w:r>
              <w:t>29.01.2026</w:t>
            </w:r>
          </w:p>
        </w:tc>
        <w:tc>
          <w:tcPr>
            <w:tcW w:type="dxa" w:w="3120"/>
          </w:tcPr>
          <w:p>
            <w:r/>
            <w:r>
              <w:t>—</w:t>
            </w:r>
          </w:p>
        </w:tc>
        <w:tc>
          <w:tcPr>
            <w:tcW w:type="dxa" w:w="3120"/>
          </w:tcPr>
          <w:p>
            <w:r/>
            <w:r>
              <w:t>Z-type B/E No. 7173539 filed at INNPK6 for M/s Gemtec Jewellery FZE — Blister Copper, CTH 74020010</w:t>
            </w:r>
          </w:p>
        </w:tc>
      </w:tr>
      <w:tr>
        <w:tc>
          <w:tcPr>
            <w:tcW w:type="dxa" w:w="3120"/>
          </w:tcPr>
          <w:p>
            <w:r/>
            <w:r>
              <w:t>30.01.2026</w:t>
            </w:r>
          </w:p>
        </w:tc>
        <w:tc>
          <w:tcPr>
            <w:tcW w:type="dxa" w:w="3120"/>
          </w:tcPr>
          <w:p>
            <w:r/>
            <w:r>
              <w:t>—</w:t>
            </w:r>
          </w:p>
        </w:tc>
        <w:tc>
          <w:tcPr>
            <w:tcW w:type="dxa" w:w="3120"/>
          </w:tcPr>
          <w:p>
            <w:r/>
            <w:r>
              <w:t>Bill of Entry assessed</w:t>
            </w:r>
          </w:p>
        </w:tc>
      </w:tr>
      <w:tr>
        <w:tc>
          <w:tcPr>
            <w:tcW w:type="dxa" w:w="3120"/>
          </w:tcPr>
          <w:p>
            <w:r/>
            <w:r>
              <w:rPr>
                <w:b/>
              </w:rPr>
              <w:t>05.02.2026</w:t>
            </w:r>
          </w:p>
        </w:tc>
        <w:tc>
          <w:tcPr>
            <w:tcW w:type="dxa" w:w="3120"/>
          </w:tcPr>
          <w:p>
            <w:r/>
            <w:r>
              <w:t>—</w:t>
            </w:r>
          </w:p>
        </w:tc>
        <w:tc>
          <w:tcPr>
            <w:tcW w:type="dxa" w:w="3120"/>
          </w:tcPr>
          <w:p>
            <w:r/>
            <w:r>
              <w:rPr>
                <w:b/>
              </w:rPr>
              <w:t>Six samples drawn under F.No. 1162/NDR FTWZ 25-26 on Test Memos Nos. 02 to 07 of 2026 (NDR-FTWZ) issued by the Office of the Development Commissioner, MEPZ SEZ</w:t>
            </w:r>
            <w:r>
              <w:t xml:space="preserve">, and forwarded to the Custom House Laboratory (CRCL), Chennai. The testing parameters expressly included the percentage of copper, the impurities (S, Pb, Fe, </w:t>
            </w:r>
            <w:r>
              <w:rPr>
                <w:b/>
              </w:rPr>
              <w:t>Au</w:t>
            </w:r>
            <w:r>
              <w:t xml:space="preserve">, Ag, Ni, Zn), whether the goods conform to the declared description as Blister Copper, </w:t>
            </w:r>
            <w:r>
              <w:rPr>
                <w:b/>
              </w:rPr>
              <w:t>whether any precious metal is present</w:t>
            </w:r>
            <w:r>
              <w:t>, and an opinion on classification</w:t>
            </w:r>
          </w:p>
        </w:tc>
      </w:tr>
      <w:tr>
        <w:tc>
          <w:tcPr>
            <w:tcW w:type="dxa" w:w="3120"/>
          </w:tcPr>
          <w:p>
            <w:r/>
            <w:r>
              <w:rPr>
                <w:b/>
              </w:rPr>
              <w:t>06.02.2026</w:t>
            </w:r>
          </w:p>
        </w:tc>
        <w:tc>
          <w:tcPr>
            <w:tcW w:type="dxa" w:w="3120"/>
          </w:tcPr>
          <w:p>
            <w:r/>
            <w:r>
              <w:t>—</w:t>
            </w:r>
          </w:p>
        </w:tc>
        <w:tc>
          <w:tcPr>
            <w:tcW w:type="dxa" w:w="3120"/>
          </w:tcPr>
          <w:p>
            <w:r/>
            <w:r>
              <w:rPr>
                <w:b/>
              </w:rPr>
              <w:t>CRCL reported — Lab Nos. 9319 to 9324-MEPZ dated 06.02.2026</w:t>
            </w:r>
            <w:r>
              <w:t xml:space="preserve">: </w:t>
            </w:r>
            <w:r>
              <w:rPr>
                <w:i/>
              </w:rPr>
              <w:t>"It has characteristics of Blister Copper"</w:t>
            </w:r>
            <w:r>
              <w:t xml:space="preserve">; copper content 96–97%; </w:t>
            </w:r>
            <w:r>
              <w:rPr>
                <w:b/>
              </w:rPr>
              <w:t>gold content expressly reported for each sample</w:t>
            </w:r>
            <w:r>
              <w:t>. One day's turnaround</w:t>
            </w:r>
          </w:p>
        </w:tc>
      </w:tr>
      <w:tr>
        <w:tc>
          <w:tcPr>
            <w:tcW w:type="dxa" w:w="3120"/>
          </w:tcPr>
          <w:p>
            <w:r/>
            <w:r>
              <w:t>24.02.2026</w:t>
            </w:r>
          </w:p>
        </w:tc>
        <w:tc>
          <w:tcPr>
            <w:tcW w:type="dxa" w:w="3120"/>
          </w:tcPr>
          <w:p>
            <w:r/>
            <w:r>
              <w:t>09:01</w:t>
            </w:r>
          </w:p>
        </w:tc>
        <w:tc>
          <w:tcPr>
            <w:tcW w:type="dxa" w:w="3120"/>
          </w:tcPr>
          <w:p>
            <w:r/>
            <w:r>
              <w:t xml:space="preserve">The Authorised Officer records in writing that the samples </w:t>
            </w:r>
            <w:r>
              <w:rPr>
                <w:i/>
              </w:rPr>
              <w:t xml:space="preserve">"were drawn and forwarded to CRCL, Chennai </w:t>
            </w:r>
            <w:r>
              <w:rPr>
                <w:i/>
              </w:rPr>
              <w:t>as per the prescribed procedure</w:t>
            </w:r>
            <w:r>
              <w:rPr>
                <w:i/>
              </w:rPr>
              <w:t xml:space="preserve"> for determination of the nature and chemical composition of the goods, </w:t>
            </w:r>
            <w:r>
              <w:rPr>
                <w:i/>
              </w:rPr>
              <w:t>including precious metal content</w:t>
            </w:r>
            <w:r>
              <w:rPr>
                <w:i/>
              </w:rPr>
              <w:t>"</w:t>
            </w:r>
          </w:p>
        </w:tc>
      </w:tr>
      <w:tr>
        <w:tc>
          <w:tcPr>
            <w:tcW w:type="dxa" w:w="3120"/>
          </w:tcPr>
          <w:p>
            <w:r/>
            <w:r>
              <w:rPr>
                <w:b/>
              </w:rPr>
              <w:t>25.02.2026</w:t>
            </w:r>
          </w:p>
        </w:tc>
        <w:tc>
          <w:tcPr>
            <w:tcW w:type="dxa" w:w="3120"/>
          </w:tcPr>
          <w:p>
            <w:r/>
            <w:r>
              <w:t>—</w:t>
            </w:r>
          </w:p>
        </w:tc>
        <w:tc>
          <w:tcPr>
            <w:tcW w:type="dxa" w:w="3120"/>
          </w:tcPr>
          <w:p>
            <w:r/>
            <w:r>
              <w:rPr>
                <w:b/>
              </w:rPr>
              <w:t>CRCL forwarding letter F.No. S.Misc/36/2013-14 LAB dated 25.02.2026</w:t>
            </w:r>
            <w:r>
              <w:t xml:space="preserve"> — the Chemical Examiner Gr.I (i/c), Custom House Laboratory, Chennai, sends the six reports </w:t>
            </w:r>
            <w:r>
              <w:rPr>
                <w:b/>
              </w:rPr>
              <w:t>to the Development Commissioner, MEPZ SEZ</w:t>
            </w:r>
            <w:r>
              <w:t>, with the sealed remnant samples</w:t>
            </w:r>
          </w:p>
        </w:tc>
      </w:tr>
      <w:tr>
        <w:tc>
          <w:tcPr>
            <w:tcW w:type="dxa" w:w="3120"/>
          </w:tcPr>
          <w:p>
            <w:r/>
            <w:r>
              <w:rPr>
                <w:b/>
              </w:rPr>
              <w:t>26.02.2026</w:t>
            </w:r>
          </w:p>
        </w:tc>
        <w:tc>
          <w:tcPr>
            <w:tcW w:type="dxa" w:w="3120"/>
          </w:tcPr>
          <w:p>
            <w:r/>
            <w:r>
              <w:t>—</w:t>
            </w:r>
          </w:p>
        </w:tc>
        <w:tc>
          <w:tcPr>
            <w:tcW w:type="dxa" w:w="3120"/>
          </w:tcPr>
          <w:p>
            <w:r/>
            <w:r>
              <w:t xml:space="preserve">Officers visited the unit without prior intimation, took copies of Bills of Entry, invoices and records, photographed the goods and questioned staff, </w:t>
            </w:r>
            <w:r>
              <w:rPr>
                <w:b/>
              </w:rPr>
              <w:t>without disclosing their identity or department</w:t>
            </w:r>
          </w:p>
        </w:tc>
      </w:tr>
      <w:tr>
        <w:tc>
          <w:tcPr>
            <w:tcW w:type="dxa" w:w="3120"/>
          </w:tcPr>
          <w:p>
            <w:r/>
            <w:r>
              <w:t>after 26.02.2026</w:t>
            </w:r>
          </w:p>
        </w:tc>
        <w:tc>
          <w:tcPr>
            <w:tcW w:type="dxa" w:w="3120"/>
          </w:tcPr>
          <w:p>
            <w:r/>
            <w:r>
              <w:t>—</w:t>
            </w:r>
          </w:p>
        </w:tc>
        <w:tc>
          <w:tcPr>
            <w:tcW w:type="dxa" w:w="3120"/>
          </w:tcPr>
          <w:p>
            <w:r/>
            <w:r>
              <w:t xml:space="preserve">The Company was told the cargo was on hold </w:t>
            </w:r>
            <w:r>
              <w:rPr>
                <w:b/>
              </w:rPr>
              <w:t>on directions of the Directorate of Revenue Intelligence, New Delhi</w:t>
            </w:r>
          </w:p>
        </w:tc>
      </w:tr>
      <w:tr>
        <w:tc>
          <w:tcPr>
            <w:tcW w:type="dxa" w:w="3120"/>
          </w:tcPr>
          <w:p>
            <w:r/>
            <w:r>
              <w:t>03.03.2026</w:t>
            </w:r>
          </w:p>
        </w:tc>
        <w:tc>
          <w:tcPr>
            <w:tcW w:type="dxa" w:w="3120"/>
          </w:tcPr>
          <w:p>
            <w:r/>
            <w:r>
              <w:t>09:59</w:t>
            </w:r>
          </w:p>
        </w:tc>
        <w:tc>
          <w:tcPr>
            <w:tcW w:type="dxa" w:w="3120"/>
          </w:tcPr>
          <w:p>
            <w:r/>
            <w:r>
              <w:t xml:space="preserve">Authorised Officer: </w:t>
            </w:r>
            <w:r>
              <w:rPr>
                <w:i/>
              </w:rPr>
              <w:t>"any further correspondence may be made to the Investigation Agency"</w:t>
            </w:r>
          </w:p>
        </w:tc>
      </w:tr>
      <w:tr>
        <w:tc>
          <w:tcPr>
            <w:tcW w:type="dxa" w:w="3120"/>
          </w:tcPr>
          <w:p>
            <w:r/>
            <w:r>
              <w:rPr>
                <w:b/>
              </w:rPr>
              <w:t>04.03.2026</w:t>
            </w:r>
          </w:p>
        </w:tc>
        <w:tc>
          <w:tcPr>
            <w:tcW w:type="dxa" w:w="3120"/>
          </w:tcPr>
          <w:p>
            <w:r/>
            <w:r>
              <w:rPr>
                <w:b/>
              </w:rPr>
              <w:t>03:19</w:t>
            </w:r>
          </w:p>
        </w:tc>
        <w:tc>
          <w:tcPr>
            <w:tcW w:type="dxa" w:w="3120"/>
          </w:tcPr>
          <w:p>
            <w:r/>
            <w:r>
              <w:t xml:space="preserve">The Company's letter </w:t>
            </w:r>
            <w:r>
              <w:rPr>
                <w:b/>
              </w:rPr>
              <w:t>"Request for Panchanama and Provisional Release under Section 110 of the Customs Act"</w:t>
            </w:r>
            <w:r>
              <w:t xml:space="preserve"> — </w:t>
            </w:r>
            <w:r>
              <w:rPr>
                <w:i/>
              </w:rPr>
              <w:t>"since the goods have been held and we are not permitted to use or deal with them as per our discretion, the same amounts to seizure under Section 110… we therefore request you to kindly provide us with a copy of the seizure memo/panchanama at the earliest"</w:t>
            </w:r>
            <w:r>
              <w:t xml:space="preserve">, with a prayer for provisional release under </w:t>
            </w:r>
            <w:r>
              <w:rPr>
                <w:b/>
              </w:rPr>
              <w:t>Section 110A</w:t>
            </w:r>
          </w:p>
        </w:tc>
      </w:tr>
      <w:tr>
        <w:tc>
          <w:tcPr>
            <w:tcW w:type="dxa" w:w="3120"/>
          </w:tcPr>
          <w:p>
            <w:r/>
            <w:r>
              <w:rPr>
                <w:b/>
              </w:rPr>
              <w:t>04.03.2026</w:t>
            </w:r>
          </w:p>
        </w:tc>
        <w:tc>
          <w:tcPr>
            <w:tcW w:type="dxa" w:w="3120"/>
          </w:tcPr>
          <w:p>
            <w:r/>
            <w:r>
              <w:rPr>
                <w:b/>
              </w:rPr>
              <w:t>06:33</w:t>
            </w:r>
          </w:p>
        </w:tc>
        <w:tc>
          <w:tcPr>
            <w:tcW w:type="dxa" w:w="3120"/>
          </w:tcPr>
          <w:p>
            <w:r/>
            <w:r>
              <w:t xml:space="preserve">The Authorised Officer's reply — not a seizure memo, but a redirection: </w:t>
            </w:r>
            <w:r>
              <w:rPr>
                <w:i/>
              </w:rPr>
              <w:t xml:space="preserve">"You are hereby requested to contact/communicate with the Officers of </w:t>
            </w:r>
            <w:r>
              <w:rPr>
                <w:i/>
              </w:rPr>
              <w:t>SIIB, Custom House, Chennai III Commissionerate</w:t>
            </w:r>
            <w:r>
              <w:rPr>
                <w:i/>
              </w:rPr>
              <w:t>… seasiib.chn@gov.in"</w:t>
            </w:r>
          </w:p>
        </w:tc>
      </w:tr>
      <w:tr>
        <w:tc>
          <w:tcPr>
            <w:tcW w:type="dxa" w:w="3120"/>
          </w:tcPr>
          <w:p>
            <w:r/>
            <w:r>
              <w:t>05.03.2026</w:t>
            </w:r>
          </w:p>
        </w:tc>
        <w:tc>
          <w:tcPr>
            <w:tcW w:type="dxa" w:w="3120"/>
          </w:tcPr>
          <w:p>
            <w:r/>
            <w:r>
              <w:t>—</w:t>
            </w:r>
          </w:p>
        </w:tc>
        <w:tc>
          <w:tcPr>
            <w:tcW w:type="dxa" w:w="3120"/>
          </w:tcPr>
          <w:p>
            <w:r/>
            <w:r>
              <w:t xml:space="preserve">The Company's representative attended the SIIB office and was </w:t>
            </w:r>
            <w:r>
              <w:rPr>
                <w:i/>
              </w:rPr>
              <w:t>"repeatedly sent from one officer to another"</w:t>
            </w:r>
          </w:p>
        </w:tc>
      </w:tr>
      <w:tr>
        <w:tc>
          <w:tcPr>
            <w:tcW w:type="dxa" w:w="3120"/>
          </w:tcPr>
          <w:p>
            <w:r/>
            <w:r>
              <w:t>11.03.2026</w:t>
            </w:r>
          </w:p>
        </w:tc>
        <w:tc>
          <w:tcPr>
            <w:tcW w:type="dxa" w:w="3120"/>
          </w:tcPr>
          <w:p>
            <w:r/>
            <w:r>
              <w:t>—</w:t>
            </w:r>
          </w:p>
        </w:tc>
        <w:tc>
          <w:tcPr>
            <w:tcW w:type="dxa" w:w="3120"/>
          </w:tcPr>
          <w:p>
            <w:r/>
            <w:r>
              <w:t xml:space="preserve">Two letters to the Principal Commissioner, SIIB, Chennai seeking an NOC — </w:t>
            </w:r>
            <w:r>
              <w:rPr>
                <w:i/>
              </w:rPr>
              <w:t>"It's already delayed by more than 1.5 months"</w:t>
            </w:r>
          </w:p>
        </w:tc>
      </w:tr>
      <w:tr>
        <w:tc>
          <w:tcPr>
            <w:tcW w:type="dxa" w:w="3120"/>
          </w:tcPr>
          <w:p>
            <w:r/>
            <w:r>
              <w:t>19.03.2026</w:t>
            </w:r>
          </w:p>
        </w:tc>
        <w:tc>
          <w:tcPr>
            <w:tcW w:type="dxa" w:w="3120"/>
          </w:tcPr>
          <w:p>
            <w:r/>
            <w:r>
              <w:t>13:37</w:t>
            </w:r>
          </w:p>
        </w:tc>
        <w:tc>
          <w:tcPr>
            <w:tcW w:type="dxa" w:w="3120"/>
          </w:tcPr>
          <w:p>
            <w:r/>
            <w:r>
              <w:t xml:space="preserve">Authorised Officer: </w:t>
            </w:r>
            <w:r>
              <w:rPr>
                <w:i/>
              </w:rPr>
              <w:t>"You may obtain OOC for Z Type BOE filed"</w:t>
            </w:r>
          </w:p>
        </w:tc>
      </w:tr>
      <w:tr>
        <w:tc>
          <w:tcPr>
            <w:tcW w:type="dxa" w:w="3120"/>
          </w:tcPr>
          <w:p>
            <w:r/>
            <w:r>
              <w:rPr>
                <w:b/>
              </w:rPr>
              <w:t>20.03.2026</w:t>
            </w:r>
          </w:p>
        </w:tc>
        <w:tc>
          <w:tcPr>
            <w:tcW w:type="dxa" w:w="3120"/>
          </w:tcPr>
          <w:p>
            <w:r/>
            <w:r>
              <w:rPr>
                <w:b/>
              </w:rPr>
              <w:t>07:30</w:t>
            </w:r>
          </w:p>
        </w:tc>
        <w:tc>
          <w:tcPr>
            <w:tcW w:type="dxa" w:w="3120"/>
          </w:tcPr>
          <w:p>
            <w:r/>
            <w:r>
              <w:rPr>
                <w:b/>
              </w:rPr>
              <w:t>ICEGATE Electronic Final Out of Charge copy and eGatepass copy of B/E 7173539 issued</w:t>
            </w:r>
          </w:p>
        </w:tc>
      </w:tr>
      <w:tr>
        <w:tc>
          <w:tcPr>
            <w:tcW w:type="dxa" w:w="3120"/>
          </w:tcPr>
          <w:p>
            <w:r/>
            <w:r>
              <w:t>07.04.2026</w:t>
            </w:r>
          </w:p>
        </w:tc>
        <w:tc>
          <w:tcPr>
            <w:tcW w:type="dxa" w:w="3120"/>
          </w:tcPr>
          <w:p>
            <w:r/>
            <w:r>
              <w:t>13:21</w:t>
            </w:r>
          </w:p>
        </w:tc>
        <w:tc>
          <w:tcPr>
            <w:tcW w:type="dxa" w:w="3120"/>
          </w:tcPr>
          <w:p>
            <w:r/>
            <w:r>
              <w:t xml:space="preserve">The CRCL reports and the remnant samples are handed over to the Company — </w:t>
            </w:r>
            <w:r>
              <w:rPr>
                <w:b/>
              </w:rPr>
              <w:t>two months after they were issued, and after the goods had been cleared</w:t>
            </w:r>
          </w:p>
        </w:tc>
      </w:tr>
    </w:tbl>
    <w:p/>
    <w:p>
      <w:pPr>
        <w:pStyle w:val="ListNumber"/>
      </w:pPr>
      <w:r>
        <w:t xml:space="preserve">The February–March 2026 episode therefore ended in </w:t>
      </w:r>
      <w:r>
        <w:rPr>
          <w:b/>
        </w:rPr>
        <w:t>release, without any seizure, without any show cause notice, without any adverse finding and without any closure order</w:t>
      </w:r>
      <w:r>
        <w:t>. The precise question said to be under investigation now — the presence of precious metal in Blister Copper — was put to the Department's own laboratory in the Test Memos of 05.02.2026 and was answered on 06.02.2026. No seizure memo or panchanama was ever furnished although demanded on 04.03.2026, and the Section 110A application of that date was never decided, one way or the other.</w:t>
      </w:r>
    </w:p>
    <w:p>
      <w:pPr>
        <w:pStyle w:val="Heading3"/>
      </w:pPr>
      <w:r>
        <w:t>C. The consignment at the Air Cargo Complex — Z-type B/E No. 2875354 dated 01.08.2026</w:t>
      </w:r>
    </w:p>
    <w:p>
      <w:pPr>
        <w:pStyle w:val="ListNumber"/>
      </w:pPr>
      <w:r>
        <w:t xml:space="preserve">Z-type Bill of Entry No. 2875354 dated 01.08.2026 covers Blister Copper of CTH 7402, quantity 414.556 kgs, of a declared value of </w:t>
      </w:r>
      <w:r>
        <w:rPr>
          <w:b/>
        </w:rPr>
        <w:t>Rs. 8,32,51,039.90</w:t>
      </w:r>
      <w:r>
        <w:t xml:space="preserve">, imported from the United Arab Emirates and destined for the Company's FTWZ unit. On </w:t>
      </w:r>
      <w:r>
        <w:rPr>
          <w:b/>
        </w:rPr>
        <w:t>07.08.2026</w:t>
      </w:r>
      <w:r>
        <w:t xml:space="preserve"> officers of the Special Intelligence and Investigation Branch at the </w:t>
      </w:r>
      <w:r>
        <w:rPr>
          <w:b/>
        </w:rPr>
        <w:t>Air Cargo Complex, Chennai</w:t>
      </w:r>
      <w:r>
        <w:t xml:space="preserve"> held the consignment and drew samples from it. </w:t>
      </w:r>
      <w:r>
        <w:rPr>
          <w:b/>
        </w:rPr>
        <w:t>No detention order, no seizure order, no mahazar, no sampling memo and no receipt under Section 144 has been furnished to the Company to this date.</w:t>
      </w:r>
      <w:r>
        <w:t xml:space="preserve"> The goods have never been permitted to move to the Zone. Airport demurrage and holding charges continue to accrue.</w:t>
      </w:r>
    </w:p>
    <w:p>
      <w:pPr>
        <w:pStyle w:val="Heading3"/>
      </w:pPr>
      <w:r>
        <w:t>D. The consignment in the FTWZ unit — Z-type B/E No. 2875203 dated 01.08.2026</w:t>
      </w:r>
    </w:p>
    <w:p>
      <w:pPr>
        <w:pStyle w:val="ListNumber"/>
      </w:pPr>
      <w:r>
        <w:t xml:space="preserve">Z-type Bill of Entry No. 2875203 dated 01.08.2026 (Port Code INNPK6, ICEGATE Document No. BE0010820261217) covers Blister Copper of CTH 7402 0010, </w:t>
      </w:r>
      <w:r>
        <w:rPr>
          <w:b/>
        </w:rPr>
        <w:t>395.276 kgs in 5 packages</w:t>
      </w:r>
      <w:r>
        <w:t xml:space="preserve"> of gross weight 421 kgs, Invoice No. Exp/2026/018 dated 30.07.2026, invoice value </w:t>
      </w:r>
      <w:r>
        <w:rPr>
          <w:b/>
        </w:rPr>
        <w:t>USD 8,00,987.29</w:t>
      </w:r>
      <w:r>
        <w:t xml:space="preserve"> CIF, </w:t>
      </w:r>
      <w:r>
        <w:rPr>
          <w:b/>
        </w:rPr>
        <w:t>assessable value Rs. 7,78,55,964.59</w:t>
      </w:r>
      <w:r>
        <w:t xml:space="preserve">, IGST reflected Rs. 1,40,14,074, MAWB No. 51411908805 dated 31.07.2026, IGM No. 3109623 dated 01.08.2026. It bears on its face the legend </w:t>
      </w:r>
      <w:r>
        <w:rPr>
          <w:b/>
        </w:rPr>
        <w:t>"BILL OF ENTRY FOR SEZ IMPORT Z TYPE"</w:t>
      </w:r>
      <w:r>
        <w:t xml:space="preserve">. It was </w:t>
      </w:r>
      <w:r>
        <w:rPr>
          <w:b/>
        </w:rPr>
        <w:t>submitted at 12:16 and assessed at 12:17 hours on 01.08.2026</w:t>
      </w:r>
      <w:r>
        <w:t xml:space="preserve"> on transaction value under Rule 4. The goods were thereafter admitted into the Zone and warehoused in the Company's unit. They were never cleared for home consumption; no duty liability arose; they remained in bond.</w:t>
      </w:r>
    </w:p>
    <w:p>
      <w:pPr>
        <w:pStyle w:val="ListNumber"/>
      </w:pPr>
      <w:r>
        <w:t>The events of 10/11.08.2026, as recorded by the Company: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Date</w:t>
            </w:r>
          </w:p>
        </w:tc>
        <w:tc>
          <w:tcPr>
            <w:tcW w:type="dxa" w:w="3120"/>
          </w:tcPr>
          <w:p>
            <w:r>
              <w:rPr>
                <w:b/>
              </w:rPr>
            </w:r>
            <w:r>
              <w:rPr>
                <w:b/>
              </w:rPr>
              <w:t>Time</w:t>
            </w:r>
          </w:p>
        </w:tc>
        <w:tc>
          <w:tcPr>
            <w:tcW w:type="dxa" w:w="3120"/>
          </w:tcPr>
          <w:p>
            <w:r>
              <w:rPr>
                <w:b/>
              </w:rPr>
            </w:r>
            <w:r>
              <w:rPr>
                <w:b/>
              </w:rPr>
              <w:t>Event</w:t>
            </w:r>
          </w:p>
        </w:tc>
      </w:tr>
      <w:tr>
        <w:tc>
          <w:tcPr>
            <w:tcW w:type="dxa" w:w="3120"/>
          </w:tcPr>
          <w:p>
            <w:r/>
            <w:r>
              <w:t>10.08.2026</w:t>
            </w:r>
          </w:p>
        </w:tc>
        <w:tc>
          <w:tcPr>
            <w:tcW w:type="dxa" w:w="3120"/>
          </w:tcPr>
          <w:p>
            <w:r/>
            <w:r>
              <w:rPr>
                <w:b/>
              </w:rPr>
              <w:t>about 1200 hours</w:t>
            </w:r>
          </w:p>
        </w:tc>
        <w:tc>
          <w:tcPr>
            <w:tcW w:type="dxa" w:w="3120"/>
          </w:tcPr>
          <w:p>
            <w:r/>
            <w:r>
              <w:t xml:space="preserve">Officers claiming to be from SIIB, Chennai-III (Preventive) Commissionerate entered the unit inside the Zone. </w:t>
            </w:r>
            <w:r>
              <w:rPr>
                <w:b/>
              </w:rPr>
              <w:t>No authority was shown. No prior intimation had been given to the Company; none, so far as the Company is aware, to the Authorised Officer or to the Development Commissioner</w:t>
            </w:r>
          </w:p>
        </w:tc>
      </w:tr>
      <w:tr>
        <w:tc>
          <w:tcPr>
            <w:tcW w:type="dxa" w:w="3120"/>
          </w:tcPr>
          <w:p>
            <w:r/>
            <w:r>
              <w:t>10.08.2026</w:t>
            </w:r>
          </w:p>
        </w:tc>
        <w:tc>
          <w:tcPr>
            <w:tcW w:type="dxa" w:w="3120"/>
          </w:tcPr>
          <w:p>
            <w:r/>
            <w:r>
              <w:t>—</w:t>
            </w:r>
          </w:p>
        </w:tc>
        <w:tc>
          <w:tcPr>
            <w:tcW w:type="dxa" w:w="3120"/>
          </w:tcPr>
          <w:p>
            <w:r/>
            <w:r>
              <w:t xml:space="preserve">The officers inspected and photographed the consignment, </w:t>
            </w:r>
            <w:r>
              <w:rPr>
                <w:b/>
              </w:rPr>
              <w:t>drew samples</w:t>
            </w:r>
            <w:r>
              <w:t>, told the Company the goods were not to be dealt with, moved or processed, and took copies of the Company's records including the Letter of Approval</w:t>
            </w:r>
          </w:p>
        </w:tc>
      </w:tr>
      <w:tr>
        <w:tc>
          <w:tcPr>
            <w:tcW w:type="dxa" w:w="3120"/>
          </w:tcPr>
          <w:p>
            <w:r/>
            <w:r>
              <w:t>10.08.2026</w:t>
            </w:r>
          </w:p>
        </w:tc>
        <w:tc>
          <w:tcPr>
            <w:tcW w:type="dxa" w:w="3120"/>
          </w:tcPr>
          <w:p>
            <w:r/>
            <w:r>
              <w:rPr>
                <w:b/>
              </w:rPr>
              <w:t>about 1700 hours</w:t>
            </w:r>
          </w:p>
        </w:tc>
        <w:tc>
          <w:tcPr>
            <w:tcW w:type="dxa" w:w="3120"/>
          </w:tcPr>
          <w:p>
            <w:r/>
            <w:r>
              <w:t xml:space="preserve">The statement of the Company's employee </w:t>
            </w:r>
            <w:r>
              <w:rPr>
                <w:b/>
              </w:rPr>
              <w:t>Shri A. Krishnesh Raja</w:t>
            </w:r>
            <w:r>
              <w:t xml:space="preserve"> was recorded, under cover of a </w:t>
            </w:r>
            <w:r>
              <w:rPr>
                <w:b/>
              </w:rPr>
              <w:t>summons dated 10.08.2026 in F.No. GEN/INV/DR/170//2026-SIIB bearing DIN-20260873MY0000276822</w:t>
            </w:r>
            <w:r>
              <w:t xml:space="preserve"> which itself required his attendance </w:t>
            </w:r>
            <w:r>
              <w:rPr>
                <w:b/>
              </w:rPr>
              <w:t>at 5.00 p.m. on the very same day</w:t>
            </w:r>
            <w:r>
              <w:t xml:space="preserve">. </w:t>
            </w:r>
            <w:r>
              <w:rPr>
                <w:b/>
              </w:rPr>
              <w:t>No signature or acknowledgment was taken from him on any document and no copy of the statement was furnished to him</w:t>
            </w:r>
          </w:p>
        </w:tc>
      </w:tr>
      <w:tr>
        <w:tc>
          <w:tcPr>
            <w:tcW w:type="dxa" w:w="3120"/>
          </w:tcPr>
          <w:p>
            <w:r/>
            <w:r>
              <w:t>10.08.2026</w:t>
            </w:r>
          </w:p>
        </w:tc>
        <w:tc>
          <w:tcPr>
            <w:tcW w:type="dxa" w:w="3120"/>
          </w:tcPr>
          <w:p>
            <w:r/>
            <w:r>
              <w:rPr>
                <w:b/>
              </w:rPr>
              <w:t>21:05:58</w:t>
            </w:r>
          </w:p>
        </w:tc>
        <w:tc>
          <w:tcPr>
            <w:tcW w:type="dxa" w:w="3120"/>
          </w:tcPr>
          <w:p>
            <w:r/>
            <w:r>
              <w:t xml:space="preserve">The Board's own </w:t>
            </w:r>
            <w:r>
              <w:rPr>
                <w:b/>
              </w:rPr>
              <w:t>DIN verification utility</w:t>
            </w:r>
            <w:r>
              <w:t xml:space="preserve"> shows DIN-20260873MY0000276822 as having been </w:t>
            </w:r>
            <w:r>
              <w:rPr>
                <w:b/>
              </w:rPr>
              <w:t>generated at 21:05:58 hours on 10.08.2026</w:t>
            </w:r>
            <w:r>
              <w:t xml:space="preserve"> — that is, roughly </w:t>
            </w:r>
            <w:r>
              <w:rPr>
                <w:b/>
              </w:rPr>
              <w:t>four hours after</w:t>
            </w:r>
            <w:r>
              <w:t xml:space="preserve"> the statement said to have been recorded under it</w:t>
            </w:r>
          </w:p>
        </w:tc>
      </w:tr>
      <w:tr>
        <w:tc>
          <w:tcPr>
            <w:tcW w:type="dxa" w:w="3120"/>
          </w:tcPr>
          <w:p>
            <w:r/>
            <w:r>
              <w:t>11.08.2026</w:t>
            </w:r>
          </w:p>
        </w:tc>
        <w:tc>
          <w:tcPr>
            <w:tcW w:type="dxa" w:w="3120"/>
          </w:tcPr>
          <w:p>
            <w:r/>
            <w:r>
              <w:rPr>
                <w:b/>
              </w:rPr>
              <w:t>about 0135 hours</w:t>
            </w:r>
          </w:p>
        </w:tc>
        <w:tc>
          <w:tcPr>
            <w:tcW w:type="dxa" w:w="3120"/>
          </w:tcPr>
          <w:p>
            <w:r/>
            <w:r>
              <w:t xml:space="preserve">The goods were </w:t>
            </w:r>
            <w:r>
              <w:rPr>
                <w:b/>
              </w:rPr>
              <w:t>seized</w:t>
            </w:r>
          </w:p>
        </w:tc>
      </w:tr>
      <w:tr>
        <w:tc>
          <w:tcPr>
            <w:tcW w:type="dxa" w:w="3120"/>
          </w:tcPr>
          <w:p>
            <w:r/>
            <w:r>
              <w:t>to date</w:t>
            </w:r>
          </w:p>
        </w:tc>
        <w:tc>
          <w:tcPr>
            <w:tcW w:type="dxa" w:w="3120"/>
          </w:tcPr>
          <w:p>
            <w:r/>
            <w:r>
              <w:t>—</w:t>
            </w:r>
          </w:p>
        </w:tc>
        <w:tc>
          <w:tcPr>
            <w:tcW w:type="dxa" w:w="3120"/>
          </w:tcPr>
          <w:p>
            <w:r/>
            <w:r>
              <w:rPr>
                <w:b/>
              </w:rPr>
              <w:t>Not one document has been furnished</w:t>
            </w:r>
          </w:p>
        </w:tc>
      </w:tr>
    </w:tbl>
    <w:p/>
    <w:p>
      <w:pPr>
        <w:pStyle w:val="ListNumber"/>
      </w:pPr>
      <w:r>
        <w:t>Specifically, the Company has not been served with, and has not since received, any of the following: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Document</w:t>
            </w:r>
          </w:p>
        </w:tc>
        <w:tc>
          <w:tcPr>
            <w:tcW w:type="dxa" w:w="3120"/>
          </w:tcPr>
          <w:p>
            <w:r>
              <w:rPr>
                <w:b/>
              </w:rPr>
            </w:r>
            <w:r>
              <w:rPr>
                <w:b/>
              </w:rPr>
              <w:t>Provision or instrument requiring it</w:t>
            </w:r>
          </w:p>
        </w:tc>
      </w:tr>
      <w:tr>
        <w:tc>
          <w:tcPr>
            <w:tcW w:type="dxa" w:w="3120"/>
          </w:tcPr>
          <w:p>
            <w:r/>
            <w:r>
              <w:t>(a)</w:t>
            </w:r>
          </w:p>
        </w:tc>
        <w:tc>
          <w:tcPr>
            <w:tcW w:type="dxa" w:w="3120"/>
          </w:tcPr>
          <w:p>
            <w:r/>
            <w:r>
              <w:t>Order of seizure and grounds of belief recorded in writing</w:t>
            </w:r>
          </w:p>
        </w:tc>
        <w:tc>
          <w:tcPr>
            <w:tcW w:type="dxa" w:w="3120"/>
          </w:tcPr>
          <w:p>
            <w:r/>
            <w:r>
              <w:t>Section 110, Customs Act, 1962</w:t>
            </w:r>
          </w:p>
        </w:tc>
      </w:tr>
      <w:tr>
        <w:tc>
          <w:tcPr>
            <w:tcW w:type="dxa" w:w="3120"/>
          </w:tcPr>
          <w:p>
            <w:r/>
            <w:r>
              <w:t>(b)</w:t>
            </w:r>
          </w:p>
        </w:tc>
        <w:tc>
          <w:tcPr>
            <w:tcW w:type="dxa" w:w="3120"/>
          </w:tcPr>
          <w:p>
            <w:r/>
            <w:r>
              <w:t>Mahazar / panchanama of the proceedings at the unit</w:t>
            </w:r>
          </w:p>
        </w:tc>
        <w:tc>
          <w:tcPr>
            <w:tcW w:type="dxa" w:w="3120"/>
          </w:tcPr>
          <w:p>
            <w:r/>
            <w:r>
              <w:t>Section 110; Instruction No. 27/2024-Customs, para 2.5</w:t>
            </w:r>
          </w:p>
        </w:tc>
      </w:tr>
      <w:tr>
        <w:tc>
          <w:tcPr>
            <w:tcW w:type="dxa" w:w="3120"/>
          </w:tcPr>
          <w:p>
            <w:r/>
            <w:r>
              <w:t>(c)</w:t>
            </w:r>
          </w:p>
        </w:tc>
        <w:tc>
          <w:tcPr>
            <w:tcW w:type="dxa" w:w="3120"/>
          </w:tcPr>
          <w:p>
            <w:r/>
            <w:r>
              <w:t>Inventory of the goods taken over or held</w:t>
            </w:r>
          </w:p>
        </w:tc>
        <w:tc>
          <w:tcPr>
            <w:tcW w:type="dxa" w:w="3120"/>
          </w:tcPr>
          <w:p>
            <w:r/>
            <w:r>
              <w:t>Section 110 and Section 110(1D)/Rules thereunder; ordinary incident of seizure</w:t>
            </w:r>
          </w:p>
        </w:tc>
      </w:tr>
      <w:tr>
        <w:tc>
          <w:tcPr>
            <w:tcW w:type="dxa" w:w="3120"/>
          </w:tcPr>
          <w:p>
            <w:r/>
            <w:r>
              <w:t>(d)</w:t>
            </w:r>
          </w:p>
        </w:tc>
        <w:tc>
          <w:tcPr>
            <w:tcW w:type="dxa" w:w="3120"/>
          </w:tcPr>
          <w:p>
            <w:r/>
            <w:r>
              <w:t>Sampling memo / test memo, with seal numbers, sample identification marks and package references</w:t>
            </w:r>
          </w:p>
        </w:tc>
        <w:tc>
          <w:tcPr>
            <w:tcW w:type="dxa" w:w="3120"/>
          </w:tcPr>
          <w:p>
            <w:r/>
            <w:r>
              <w:t>MEPZ SOP, clause 4; Circular No. 30/2017-Cus.</w:t>
            </w:r>
          </w:p>
        </w:tc>
      </w:tr>
      <w:tr>
        <w:tc>
          <w:tcPr>
            <w:tcW w:type="dxa" w:w="3120"/>
          </w:tcPr>
          <w:p>
            <w:r/>
            <w:r>
              <w:t>(e)</w:t>
            </w:r>
          </w:p>
        </w:tc>
        <w:tc>
          <w:tcPr>
            <w:tcW w:type="dxa" w:w="3120"/>
          </w:tcPr>
          <w:p>
            <w:r/>
            <w:r>
              <w:t>Receipt for the samples drawn</w:t>
            </w:r>
          </w:p>
        </w:tc>
        <w:tc>
          <w:tcPr>
            <w:tcW w:type="dxa" w:w="3120"/>
          </w:tcPr>
          <w:p>
            <w:r/>
            <w:r>
              <w:rPr>
                <w:b/>
              </w:rPr>
              <w:t>Section 144(2), Customs Act, 1962</w:t>
            </w:r>
          </w:p>
        </w:tc>
      </w:tr>
      <w:tr>
        <w:tc>
          <w:tcPr>
            <w:tcW w:type="dxa" w:w="3120"/>
          </w:tcPr>
          <w:p>
            <w:r/>
            <w:r>
              <w:t>(f)</w:t>
            </w:r>
          </w:p>
        </w:tc>
        <w:tc>
          <w:tcPr>
            <w:tcW w:type="dxa" w:w="3120"/>
          </w:tcPr>
          <w:p>
            <w:r/>
            <w:r>
              <w:t>Copy of the statement of Shri A. Krishnesh Raja, and his signature/acknowledgment on it</w:t>
            </w:r>
          </w:p>
        </w:tc>
        <w:tc>
          <w:tcPr>
            <w:tcW w:type="dxa" w:w="3120"/>
          </w:tcPr>
          <w:p>
            <w:r/>
            <w:r>
              <w:t>Section 108; Instruction No. 27/2024-Customs, para 2.5</w:t>
            </w:r>
          </w:p>
        </w:tc>
      </w:tr>
      <w:tr>
        <w:tc>
          <w:tcPr>
            <w:tcW w:type="dxa" w:w="3120"/>
          </w:tcPr>
          <w:p>
            <w:r/>
            <w:r>
              <w:t>(g)</w:t>
            </w:r>
          </w:p>
        </w:tc>
        <w:tc>
          <w:tcPr>
            <w:tcW w:type="dxa" w:w="3120"/>
          </w:tcPr>
          <w:p>
            <w:r/>
            <w:r>
              <w:t>Authority under which the officers entered the Zone and dealt with goods in bond — prior intimation to / approval of the Development Commissioner and reasons recorded in writing</w:t>
            </w:r>
          </w:p>
        </w:tc>
        <w:tc>
          <w:tcPr>
            <w:tcW w:type="dxa" w:w="3120"/>
          </w:tcPr>
          <w:p>
            <w:r/>
            <w:r>
              <w:rPr>
                <w:b/>
              </w:rPr>
              <w:t>Section 22, SEZ Act, 2005</w:t>
            </w:r>
            <w:r>
              <w:t>; S.O. 2666(E) and S.O. 2667(E) dated 05.08.2016</w:t>
            </w:r>
          </w:p>
        </w:tc>
      </w:tr>
      <w:tr>
        <w:tc>
          <w:tcPr>
            <w:tcW w:type="dxa" w:w="3120"/>
          </w:tcPr>
          <w:p>
            <w:r/>
            <w:r>
              <w:t>(h)</w:t>
            </w:r>
          </w:p>
        </w:tc>
        <w:tc>
          <w:tcPr>
            <w:tcW w:type="dxa" w:w="3120"/>
          </w:tcPr>
          <w:p>
            <w:r/>
            <w:r>
              <w:t>Approval of the competent authority, with reasons in writing, for departing from the SOP</w:t>
            </w:r>
          </w:p>
        </w:tc>
        <w:tc>
          <w:tcPr>
            <w:tcW w:type="dxa" w:w="3120"/>
          </w:tcPr>
          <w:p>
            <w:r/>
            <w:r>
              <w:rPr>
                <w:b/>
              </w:rPr>
              <w:t>Clause 10, MEPZ SOP</w:t>
            </w:r>
          </w:p>
        </w:tc>
      </w:tr>
      <w:tr>
        <w:tc>
          <w:tcPr>
            <w:tcW w:type="dxa" w:w="3120"/>
          </w:tcPr>
          <w:p>
            <w:r/>
            <w:r>
              <w:t>(i)</w:t>
            </w:r>
          </w:p>
        </w:tc>
        <w:tc>
          <w:tcPr>
            <w:tcW w:type="dxa" w:w="3120"/>
          </w:tcPr>
          <w:p>
            <w:r/>
            <w:r>
              <w:t>Prior approval of the Commissioner for initiating the investigation, and the record of the DIGIT/DIN check</w:t>
            </w:r>
          </w:p>
        </w:tc>
        <w:tc>
          <w:tcPr>
            <w:tcW w:type="dxa" w:w="3120"/>
          </w:tcPr>
          <w:p>
            <w:r/>
            <w:r>
              <w:rPr>
                <w:b/>
              </w:rPr>
              <w:t>Instruction No. 27/2024-Customs, paras 2.1 and 2.3</w:t>
            </w:r>
          </w:p>
        </w:tc>
      </w:tr>
      <w:tr>
        <w:tc>
          <w:tcPr>
            <w:tcW w:type="dxa" w:w="3120"/>
          </w:tcPr>
          <w:p>
            <w:r/>
            <w:r>
              <w:t>(j)</w:t>
            </w:r>
          </w:p>
        </w:tc>
        <w:tc>
          <w:tcPr>
            <w:tcW w:type="dxa" w:w="3120"/>
          </w:tcPr>
          <w:p>
            <w:r/>
            <w:r>
              <w:t>Any test report of the samples drawn on 07.08.2026 or 10.08.2026</w:t>
            </w:r>
          </w:p>
        </w:tc>
        <w:tc>
          <w:tcPr>
            <w:tcW w:type="dxa" w:w="3120"/>
          </w:tcPr>
          <w:p>
            <w:r/>
            <w:r>
              <w:t>Circular No. 30/2017-Cus., para (a)</w:t>
            </w:r>
          </w:p>
        </w:tc>
      </w:tr>
    </w:tbl>
    <w:p/>
    <w:p>
      <w:pPr>
        <w:pStyle w:val="ListNumber"/>
      </w:pPr>
      <w:r>
        <w:t xml:space="preserve">The net result is that goods of a declared value of </w:t>
      </w:r>
      <w:r>
        <w:rPr>
          <w:b/>
        </w:rPr>
        <w:t>Rs. 16,11,07,004.49</w:t>
      </w:r>
      <w:r>
        <w:t xml:space="preserve"> across the two consignments — belonging to a foreign client — stand immobilised, one lot at the Air Cargo Complex since 07.08.2026 and the other in the Company's own bonded unit since 10/11.08.2026, upon proceedings of which the Company holds </w:t>
      </w:r>
      <w:r>
        <w:rPr>
          <w:b/>
        </w:rPr>
        <w:t>no document whatsoever</w:t>
      </w:r>
      <w:r>
        <w:t>.</w:t>
      </w:r>
    </w:p>
    <w:p>
      <w:pPr>
        <w:pStyle w:val="Heading2"/>
      </w:pPr>
      <w:r>
        <w:t>PART II — THE GRIEVANCES, AND THE LAW UPON EACH</w:t>
      </w:r>
    </w:p>
    <w:p>
      <w:pPr>
        <w:pStyle w:val="Heading3"/>
      </w:pPr>
      <w:r>
        <w:t>Grievance 1 — Goods have been taken and held without any of the writings the Customs Act makes a condition of taking them</w:t>
      </w:r>
    </w:p>
    <w:p>
      <w:pPr>
        <w:jc w:val="both"/>
      </w:pPr>
      <w:r>
        <w:rPr>
          <w:b/>
        </w:rPr>
        <w:t>The facts.</w:t>
      </w:r>
      <w:r>
        <w:t xml:space="preserve"> No detention order for 07.08.2026. No seizure order, grounds of belief, mahazar or inventory for 10/11.08.2026. Nothing in writing at all, in either matter.</w:t>
      </w:r>
    </w:p>
    <w:p>
      <w:pPr>
        <w:jc w:val="both"/>
      </w:pPr>
      <w:r>
        <w:rPr>
          <w:b/>
        </w:rPr>
        <w:t>The law.</w:t>
      </w:r>
      <w:r>
        <w:t xml:space="preserve"> Section 110(1) is the </w:t>
      </w:r>
      <w:r>
        <w:rPr>
          <w:i/>
        </w:rPr>
        <w:t>only</w:t>
      </w:r>
      <w:r>
        <w:t xml:space="preserve"> provision under which imported goods may be withheld from the person entitled to them, and it operates only where the proper officer "has reason to believe that any goods are liable to confiscation" — a belief which must exist, and be recorded, before the power is exercised. Section 110(2) then requires notice under Section 124 within six months of seizure, extendable once by the Principal Commissioner/Commissioner for reasons recorded in writing. Section 144(2) requires that a </w:t>
      </w:r>
      <w:r>
        <w:rPr>
          <w:b/>
        </w:rPr>
        <w:t>receipt</w:t>
      </w:r>
      <w:r>
        <w:t xml:space="preserve"> be given for any sample taken. Section 45 and Section 49 provide the only lawful modes of </w:t>
      </w:r>
      <w:r>
        <w:rPr>
          <w:i/>
        </w:rPr>
        <w:t>custody</w:t>
      </w:r>
      <w:r>
        <w:t xml:space="preserve"> short of seizure — Section 49, as substituted by Section 102 of the Finance Act, 2017, permitting storage in a public warehouse "pending clearance or removal" on the importer's application for thirty days, extendable "for a further period not exceeding thirty days at a time". Every one of these routes requires a </w:t>
      </w:r>
      <w:r>
        <w:rPr>
          <w:b/>
        </w:rPr>
        <w:t>writing</w:t>
      </w:r>
      <w:r>
        <w:t>. There is no fourth route.</w:t>
      </w:r>
    </w:p>
    <w:p>
      <w:pPr>
        <w:jc w:val="both"/>
      </w:pPr>
      <w:r>
        <w:rPr>
          <w:b/>
        </w:rPr>
        <w:t>Authority.</w:t>
      </w:r>
    </w:p>
    <w:p>
      <w:pPr>
        <w:pStyle w:val="ListBullet"/>
      </w:pPr>
      <w:r>
        <w:t>*</w:t>
      </w:r>
      <w:r>
        <w:rPr>
          <w:b/>
        </w:rPr>
        <w:t>Jatinder Kumar Sachdeva v. Union of India</w:t>
      </w:r>
      <w:r>
        <w:rPr>
          <w:i/>
        </w:rPr>
        <w:t xml:space="preserve">, Delhi High Court, W.P.(C) No. 1492 of 2016, 08.12.2016 — the Department's plea that the goods were "merely detained" and not seized was rejected: </w:t>
      </w:r>
      <w:r>
        <w:rPr>
          <w:i/>
        </w:rPr>
        <w:t>"there is no provision for detention of goods in the Act"</w:t>
      </w:r>
      <w:r>
        <w:t>*, and the Department "under the garb of detention, could not avoid the consequences flowing from seizure".</w:t>
      </w:r>
    </w:p>
    <w:p>
      <w:pPr>
        <w:pStyle w:val="ListBullet"/>
      </w:pPr>
      <w:r>
        <w:t>*</w:t>
      </w:r>
      <w:r>
        <w:rPr>
          <w:b/>
        </w:rPr>
        <w:t>Exim Incorporation v. Union of India</w:t>
      </w:r>
      <w:r>
        <w:rPr>
          <w:i/>
        </w:rPr>
        <w:t xml:space="preserve">, Bombay High Court (DB), W.P. No. 1898 of 2020, 09.12.2020 — assessed cargo held at the instance of DRI, a Section 49 request ignored: </w:t>
      </w:r>
      <w:r>
        <w:rPr>
          <w:i/>
        </w:rPr>
        <w:t>"we could not come across any such provision authorizing detention of goods"</w:t>
      </w:r>
      <w:r>
        <w:rPr>
          <w:i/>
        </w:rPr>
        <w:t xml:space="preserve">; on the Department's own Central Apprising Manual, "detention would be at a stage post seizure … admittedly there is no seizure. Therefore, there can be no detention"; </w:t>
      </w:r>
      <w:r>
        <w:rPr>
          <w:i/>
        </w:rPr>
        <w:t>"First illegality is they have detained the goods without affecting seizure"</w:t>
      </w:r>
      <w:r>
        <w:rPr>
          <w:i/>
        </w:rPr>
        <w:t xml:space="preserve">; "the customs authorities cannot take the plea of detention to avoid consequences of seizure under sub section (2) of section 110"; and, following </w:t>
      </w:r>
      <w:r>
        <w:t>Om Udyog*, 2010 (254) E.L.T. 547 (P&amp;H), officers "are not immune from accountability against abuse of power by detaining goods for indefinite period". Release was directed within two weeks.</w:t>
      </w:r>
    </w:p>
    <w:p>
      <w:pPr>
        <w:pStyle w:val="ListBullet"/>
      </w:pPr>
      <w:r>
        <w:t>*</w:t>
      </w:r>
      <w:r>
        <w:rPr>
          <w:b/>
        </w:rPr>
        <w:t>Union of India v. Jatin Ahuja</w:t>
      </w:r>
      <w:r>
        <w:t>*, Supreme Court, Civil Appeal No. 3489 of 2024, 11.09.2025 — the only power to extend is under the first proviso to Section 110(2); absent a notice within the period, the goods must be returned.</w:t>
      </w:r>
    </w:p>
    <w:p>
      <w:pPr>
        <w:pStyle w:val="ListBullet"/>
      </w:pPr>
      <w:r>
        <w:t>*</w:t>
      </w:r>
      <w:r>
        <w:rPr>
          <w:b/>
        </w:rPr>
        <w:t>M/s. S.J. Fabrics Pvt. Ltd. v. Union of India</w:t>
      </w:r>
      <w:r>
        <w:t>*, Calcutta High Court, 19.04.2011 — goods held with neither a show cause notice nor an order of seizure; relief worked off the Section 110(2)/124 timeline, damages for wrongful detention left open.</w:t>
      </w:r>
    </w:p>
    <w:p>
      <w:pPr>
        <w:pStyle w:val="ListBullet"/>
      </w:pPr>
      <w:r>
        <w:t xml:space="preserve">The line of decisions quashing seizure memos for want of recorded reasons (Patna High Court: </w:t>
      </w:r>
      <w:r>
        <w:rPr>
          <w:i/>
        </w:rPr>
        <w:t>Ashoke Das</w:t>
      </w:r>
      <w:r>
        <w:t xml:space="preserve">, 19.02.2025; </w:t>
      </w:r>
      <w:r>
        <w:rPr>
          <w:i/>
        </w:rPr>
        <w:t>Jayesh Agarwal</w:t>
      </w:r>
      <w:r>
        <w:t xml:space="preserve">, 24.02.2025; </w:t>
      </w:r>
      <w:r>
        <w:rPr>
          <w:i/>
        </w:rPr>
        <w:t>A.S. Trading</w:t>
      </w:r>
      <w:r>
        <w:t xml:space="preserve">, 25.04.2025) supplies the </w:t>
      </w:r>
      <w:r>
        <w:rPr>
          <w:i/>
        </w:rPr>
        <w:t>a fortiori</w:t>
      </w:r>
      <w:r>
        <w:t xml:space="preserve"> argument: </w:t>
      </w:r>
      <w:r>
        <w:rPr>
          <w:b/>
        </w:rPr>
        <w:t>if a seizure memo without recorded reasons is bad, a taking of goods with no memo at all cannot stand.</w:t>
      </w:r>
    </w:p>
    <w:p>
      <w:pPr>
        <w:jc w:val="both"/>
      </w:pPr>
      <w:r>
        <w:rPr>
          <w:b/>
        </w:rPr>
        <w:t>The grievance in law.</w:t>
      </w:r>
      <w:r>
        <w:t xml:space="preserve"> Goods worth Rs. 16.11 crore have been taken out of the Company's control by executive action resting on nothing that exists on paper. That is deprivation of property otherwise than by authority of law (Article 300A), it is arbitrary (Article 14), and it interferes with the Company's trade (Article 19(1)(g)).</w:t>
      </w:r>
    </w:p>
    <w:p>
      <w:pPr>
        <w:pStyle w:val="Heading3"/>
      </w:pPr>
      <w:r>
        <w:t>Grievance 2 — The Company has been deprived of the very safeguards that a seizure would have carried with it</w:t>
      </w:r>
    </w:p>
    <w:p>
      <w:pPr>
        <w:jc w:val="both"/>
      </w:pPr>
      <w:r>
        <w:rPr>
          <w:b/>
        </w:rPr>
        <w:t>The facts.</w:t>
      </w:r>
      <w:r>
        <w:t xml:space="preserve"> No seizure order has been served for either consignment; yet neither consignment is available to the Company.</w:t>
      </w:r>
    </w:p>
    <w:p>
      <w:pPr>
        <w:jc w:val="both"/>
      </w:pPr>
      <w:r>
        <w:rPr>
          <w:b/>
        </w:rPr>
        <w:t>The law.</w:t>
      </w:r>
      <w:r>
        <w:t xml:space="preserve"> A seizure, once effected and documented, triggers rights </w:t>
      </w:r>
      <w:r>
        <w:rPr>
          <w:i/>
        </w:rPr>
        <w:t>in favour of the person from whom the goods are taken</w:t>
      </w:r>
      <w:r>
        <w:t xml:space="preserve">: the right to a notice within six months under Section 110(2) failing which the goods must be returned; the right to a show cause notice under Section 124 before any confiscation or penalty; and the right to apply for </w:t>
      </w:r>
      <w:r>
        <w:rPr>
          <w:b/>
        </w:rPr>
        <w:t>provisional release under Section 110A</w:t>
      </w:r>
      <w:r>
        <w:t xml:space="preserve"> pending adjudication. By holding goods without documenting a seizure, the officers obtain every practical advantage of a seizure while denying the Company each of these safeguards. That is precisely what </w:t>
      </w:r>
      <w:r>
        <w:rPr>
          <w:i/>
        </w:rPr>
        <w:t>Jatinder Kumar Sachdeva</w:t>
      </w:r>
      <w:r>
        <w:t xml:space="preserve"> and </w:t>
      </w:r>
      <w:r>
        <w:rPr>
          <w:i/>
        </w:rPr>
        <w:t>Exim Incorporation</w:t>
      </w:r>
      <w:r>
        <w:t xml:space="preserve"> forbid. The argument was put in these terms in *</w:t>
      </w:r>
      <w:r>
        <w:rPr>
          <w:b/>
        </w:rPr>
        <w:t>J.K. Exim v. Principal Commissioner of Customs</w:t>
      </w:r>
      <w:r>
        <w:rPr>
          <w:i/>
        </w:rPr>
        <w:t xml:space="preserve">, Madras High Court, W.P. No. 36866 of 2016 (a matter against </w:t>
      </w:r>
      <w:r>
        <w:rPr>
          <w:i/>
        </w:rPr>
        <w:t>SIIB, Chennai</w:t>
      </w:r>
      <w:r>
        <w:rPr>
          <w:i/>
        </w:rPr>
        <w:t xml:space="preserve"> itself, where a seizure mahazar dated 11.02.2016 came to the petitioner's knowledge only on 17.06.2016): "the detention of goods is no different from seizure, which is why the Legislature has made a provision for imposing conditions … under Section 110-A of the Act, even before issuing a show cause notice." </w:t>
      </w:r>
      <w:r>
        <w:t>(To be cited only from a certified copy.)*</w:t>
      </w:r>
    </w:p>
    <w:p>
      <w:pPr>
        <w:jc w:val="both"/>
      </w:pPr>
      <w:r>
        <w:rPr>
          <w:b/>
        </w:rPr>
        <w:t>The grievance in law.</w:t>
      </w:r>
      <w:r>
        <w:t xml:space="preserve"> The Company is in the worst of both worlds — dispossessed as if there were a seizure, and without the statutory clock, the notice or the provisional-release remedy that a seizure would have given it. The February 2026 episode shows this is not an oversight: an express demand for a panchanama and a Section 110A application, both made on 04.03.2026, produced neither document nor decision.</w:t>
      </w:r>
    </w:p>
    <w:p>
      <w:pPr>
        <w:pStyle w:val="Heading3"/>
      </w:pPr>
      <w:r>
        <w:t>Grievance 3 — Entry into the Unit and action upon goods in bond without the compliance Section 22 of the SEZ Act makes a condition precedent</w:t>
      </w:r>
    </w:p>
    <w:p>
      <w:pPr>
        <w:jc w:val="both"/>
      </w:pPr>
      <w:r>
        <w:rPr>
          <w:b/>
        </w:rPr>
        <w:t>The facts.</w:t>
      </w:r>
      <w:r>
        <w:t xml:space="preserve"> The action of 10/11.08.2026 took place </w:t>
      </w:r>
      <w:r>
        <w:rPr>
          <w:b/>
        </w:rPr>
        <w:t>inside</w:t>
      </w:r>
      <w:r>
        <w:t xml:space="preserve"> a notified Zone and </w:t>
      </w:r>
      <w:r>
        <w:rPr>
          <w:b/>
        </w:rPr>
        <w:t>inside</w:t>
      </w:r>
      <w:r>
        <w:t xml:space="preserve"> the Unit. No authority was shown; no intimation to or approval of the Development Commissioner was produced; no reasons recorded in writing were produced.</w:t>
      </w:r>
    </w:p>
    <w:p>
      <w:pPr>
        <w:jc w:val="both"/>
      </w:pPr>
      <w:r>
        <w:rPr>
          <w:b/>
        </w:rPr>
        <w:t>The law.</w:t>
      </w:r>
      <w:r>
        <w:t xml:space="preserve"> Section 22 of the Special Economic Zones Act, 2005 permits an investigation, inspection, search or seizure </w:t>
      </w:r>
      <w:r>
        <w:rPr>
          <w:b/>
        </w:rPr>
        <w:t>in</w:t>
      </w:r>
      <w:r>
        <w:t xml:space="preserve"> a Special Economic Zone or </w:t>
      </w:r>
      <w:r>
        <w:rPr>
          <w:b/>
        </w:rPr>
        <w:t>in</w:t>
      </w:r>
      <w:r>
        <w:t xml:space="preserve"> a Unit only by an agency or officer specified under Section 20 or Section 21, only upon </w:t>
      </w:r>
      <w:r>
        <w:rPr>
          <w:b/>
        </w:rPr>
        <w:t>reasons recorded in writing</w:t>
      </w:r>
      <w:r>
        <w:t xml:space="preserve"> that a notified offence has been or is likely to be committed, and only </w:t>
      </w:r>
      <w:r>
        <w:rPr>
          <w:b/>
        </w:rPr>
        <w:t>after prior intimation to the Development Commissioner</w:t>
      </w:r>
      <w:r>
        <w:t xml:space="preserve">; by the </w:t>
      </w:r>
      <w:r>
        <w:rPr>
          <w:b/>
        </w:rPr>
        <w:t>first proviso</w:t>
      </w:r>
      <w:r>
        <w:t xml:space="preserve">, no such action shall be taken by any other agency or officer </w:t>
      </w:r>
      <w:r>
        <w:rPr>
          <w:b/>
        </w:rPr>
        <w:t>without the prior approval of the Development Commissioner</w:t>
      </w:r>
      <w:r>
        <w:t xml:space="preserve">. Section 51 gives the SEZ Act overriding effect, and Section 53(1) deems the Zone to be territory outside the customs territory of India for authorised operations. Of the notifications of </w:t>
      </w:r>
      <w:r>
        <w:rPr>
          <w:b/>
        </w:rPr>
        <w:t>05.08.2016</w:t>
      </w:r>
      <w:r>
        <w:t xml:space="preserve"> (F.No. C.1/1/2009-SEZ), </w:t>
      </w:r>
      <w:r>
        <w:rPr>
          <w:b/>
        </w:rPr>
        <w:t>S.O. 2666(E)</w:t>
      </w:r>
      <w:r>
        <w:t xml:space="preserve"> enables the </w:t>
      </w:r>
      <w:r>
        <w:rPr>
          <w:b/>
        </w:rPr>
        <w:t>Additional Director General, DRI</w:t>
      </w:r>
      <w:r>
        <w:t xml:space="preserve"> to act without prior intimation on reasons recorded in writing (intimating the Joint Secretary (SEZ) within seven days), and </w:t>
      </w:r>
      <w:r>
        <w:rPr>
          <w:b/>
        </w:rPr>
        <w:t>S.O. 2667(E)</w:t>
      </w:r>
      <w:r>
        <w:t xml:space="preserve"> enables the </w:t>
      </w:r>
      <w:r>
        <w:rPr>
          <w:b/>
        </w:rPr>
        <w:t>jurisdictional Commissioner of Customs</w:t>
      </w:r>
      <w:r>
        <w:t xml:space="preserve"> to act for reasons recorded in writing </w:t>
      </w:r>
      <w:r>
        <w:rPr>
          <w:b/>
        </w:rPr>
        <w:t>with prior intimation to the Development Commissioner</w:t>
      </w:r>
      <w:r>
        <w:t xml:space="preserve">. Rule 29(2), SEZ Rules, 2006 makes the Bill of Entry assessed and endorsed by the </w:t>
      </w:r>
      <w:r>
        <w:rPr>
          <w:b/>
        </w:rPr>
        <w:t>Authorised Officer</w:t>
      </w:r>
      <w:r>
        <w:t xml:space="preserve"> the permission for the goods to move into the Zone.</w:t>
      </w:r>
    </w:p>
    <w:p>
      <w:pPr>
        <w:jc w:val="both"/>
      </w:pPr>
      <w:r>
        <w:rPr>
          <w:b/>
        </w:rPr>
        <w:t>Authority — and the correct pitch of the plea.</w:t>
      </w:r>
      <w:r>
        <w:t xml:space="preserve"> *</w:t>
      </w:r>
      <w:r>
        <w:rPr>
          <w:b/>
        </w:rPr>
        <w:t>RHC Global Exports Private Limited v. Union of India</w:t>
      </w:r>
      <w:r>
        <w:rPr>
          <w:i/>
        </w:rPr>
        <w:t xml:space="preserve">, Gujarat High Court, SCA No. 5978 of 2023, 06.06.2023, is the leading decision, and it went </w:t>
      </w:r>
      <w:r>
        <w:rPr>
          <w:i/>
        </w:rPr>
        <w:t>against</w:t>
      </w:r>
      <w:r>
        <w:rPr>
          <w:i/>
        </w:rPr>
        <w:t xml:space="preserve"> the unit — but for a reason that assists the Company here: the search and seizure inside the SEZ survived precisely </w:t>
      </w:r>
      <w:r>
        <w:rPr>
          <w:i/>
        </w:rPr>
        <w:t>because</w:t>
      </w:r>
      <w:r>
        <w:rPr>
          <w:i/>
        </w:rPr>
        <w:t xml:space="preserve"> the officers were a specified agency </w:t>
      </w:r>
      <w:r>
        <w:rPr>
          <w:i/>
        </w:rPr>
        <w:t>and</w:t>
      </w:r>
      <w:r>
        <w:rPr>
          <w:i/>
        </w:rPr>
        <w:t xml:space="preserve"> the Development Commissioner had in fact been informed. Section 22 is therefore a </w:t>
      </w:r>
      <w:r>
        <w:rPr>
          <w:i/>
        </w:rPr>
        <w:t>compliance condition on which the validity of the action turns</w:t>
      </w:r>
      <w:r>
        <w:rPr>
          <w:i/>
        </w:rPr>
        <w:t xml:space="preserve">, and not a general licence for any Customs officer to enter a Unit at will. </w:t>
      </w:r>
      <w:r>
        <w:t>Divine Chemtee Ltd. v. Principal Commissioner of Customs</w:t>
      </w:r>
      <w:r>
        <w:rPr>
          <w:i/>
        </w:rPr>
        <w:t xml:space="preserve">, Andhra Pradesh High Court, 05.05.2022, is to like effect on the statutory scheme, but is expressly a pre-2016 case and must not be led with. </w:t>
      </w:r>
      <w:r>
        <w:t>Morgan Tectronics</w:t>
      </w:r>
      <w:r>
        <w:rPr>
          <w:i/>
        </w:rPr>
        <w:t xml:space="preserve"> (CESTAT) — Air Cargo Customs had no jurisdiction over SEZ-destined cargo — is persuasive only. Against the Company stands </w:t>
      </w:r>
      <w:r>
        <w:rPr>
          <w:b/>
        </w:rPr>
        <w:t>Huawei Telecommunications India v. Principal Commissioner of Customs</w:t>
      </w:r>
      <w:r>
        <w:rPr>
          <w:i/>
        </w:rPr>
        <w:t xml:space="preserve">, Madras High Court, W.P. Nos. 768–769 of 2018, 06.11.2024, which proceeds on the footing that after the 2016 amendment (Rule 47(5)) the jurisdictional </w:t>
      </w:r>
      <w:r>
        <w:rPr>
          <w:i/>
        </w:rPr>
        <w:t>Customs</w:t>
      </w:r>
      <w:r>
        <w:t>* authorities, and not the Development Commissioner, hold the assessment and adjudication power in SEZ matters.</w:t>
      </w:r>
    </w:p>
    <w:p>
      <w:pPr>
        <w:jc w:val="both"/>
      </w:pPr>
      <w:r>
        <w:rPr>
          <w:b/>
        </w:rPr>
        <w:t>The grievance in law.</w:t>
      </w:r>
      <w:r>
        <w:t xml:space="preserve"> The officers who entered are neither the ADG, DRI nor the jurisdictional Commissioner of Customs; the Letter of Approval is endorsed to the Specified Officer, Chennai-IV and the Authorised Officer, and to no other formation. </w:t>
      </w:r>
      <w:r>
        <w:rPr>
          <w:b/>
        </w:rPr>
        <w:t>The plea to be taken is not "SIIB can never act in an SEZ" — it is that the record of compliance with Section 22 and S.O. 2667(E) must be produced, and that if it does not exist the action is without jurisdiction.</w:t>
      </w:r>
      <w:r>
        <w:t xml:space="preserve"> That plea is available only for the FTWZ consignment (B/E 2875203). It is </w:t>
      </w:r>
      <w:r>
        <w:rPr>
          <w:b/>
        </w:rPr>
        <w:t>not</w:t>
      </w:r>
      <w:r>
        <w:t xml:space="preserve"> available for the Air Cargo consignment (B/E 2875354), which never entered the Zone, and must not be pleaded there.</w:t>
      </w:r>
    </w:p>
    <w:p>
      <w:pPr>
        <w:pStyle w:val="Heading3"/>
      </w:pPr>
      <w:r>
        <w:t>Grievance 4 — Samples were drawn in a manner that destroys their evidentiary value, and in breach of the Development Commissioner's own SOP</w:t>
      </w:r>
    </w:p>
    <w:p>
      <w:pPr>
        <w:jc w:val="both"/>
      </w:pPr>
      <w:r>
        <w:rPr>
          <w:b/>
        </w:rPr>
        <w:t>The facts.</w:t>
      </w:r>
      <w:r>
        <w:t xml:space="preserve"> Samples were drawn on 07.08.2026 at the Air Cargo Complex and on 10.08.2026 in the Unit. In neither case was there a sampling memo, a seal number, a sample identification mark, a package reference, a receipt under Section 144, or a set retained with the Authorised Officer. No test report of either drawal has been communicated.</w:t>
      </w:r>
    </w:p>
    <w:p>
      <w:pPr>
        <w:jc w:val="both"/>
      </w:pPr>
      <w:r>
        <w:rPr>
          <w:b/>
        </w:rPr>
        <w:t>The law.</w:t>
      </w:r>
    </w:p>
    <w:p>
      <w:pPr>
        <w:pStyle w:val="ListBullet"/>
      </w:pPr>
      <w:r>
        <w:rPr>
          <w:b/>
        </w:rPr>
        <w:t>Section 144(2)</w:t>
      </w:r>
      <w:r>
        <w:t xml:space="preserve">, Customs Act, 1962 — a </w:t>
      </w:r>
      <w:r>
        <w:rPr>
          <w:b/>
        </w:rPr>
        <w:t>receipt</w:t>
      </w:r>
      <w:r>
        <w:t xml:space="preserve"> shall be given for a sample taken.</w:t>
      </w:r>
    </w:p>
    <w:p>
      <w:pPr>
        <w:pStyle w:val="ListBullet"/>
      </w:pPr>
      <w:r>
        <w:rPr>
          <w:b/>
        </w:rPr>
        <w:t>Circular No. 30/2017-Cus.</w:t>
      </w:r>
      <w:r>
        <w:t xml:space="preserve"> (text verified) — the results of </w:t>
      </w:r>
      <w:r>
        <w:rPr>
          <w:b/>
        </w:rPr>
        <w:t>all</w:t>
      </w:r>
      <w:r>
        <w:t xml:space="preserve"> test reports, adverse or otherwise, are to be communicated </w:t>
      </w:r>
      <w:r>
        <w:rPr>
          <w:b/>
        </w:rPr>
        <w:t>immediately on receipt</w:t>
      </w:r>
      <w:r>
        <w:t xml:space="preserve">; a re-test may be sought in writing within ten days; where fresh samples are drawn, the sampling shall be </w:t>
      </w:r>
      <w:r>
        <w:rPr>
          <w:b/>
        </w:rPr>
        <w:t>in the presence of the importer or his representative</w:t>
      </w:r>
      <w:r>
        <w:t>, who shall certify that the samples are representative.</w:t>
      </w:r>
    </w:p>
    <w:p>
      <w:pPr>
        <w:pStyle w:val="ListBullet"/>
      </w:pPr>
      <w:r>
        <w:rPr>
          <w:b/>
        </w:rPr>
        <w:t>Circular No. 01/2011-Cus., para 4</w:t>
      </w:r>
      <w:r>
        <w:t xml:space="preserve"> — "Seizure should be resorted to only when the Customs officers have a reason to believe that the goods in question are liable to confiscation … However, there may be situations when the goods are to be detained for purpose of tests etc. … In such cases the endeavour should be to quickly undertake the necessary action (test / enquiry etc.) and take appropriate legal action thereafter </w:t>
      </w:r>
      <w:r>
        <w:rPr>
          <w:b/>
        </w:rPr>
        <w:t>so that the period of detention is kept to the minimum</w:t>
      </w:r>
      <w:r>
        <w:t xml:space="preserve">"; and para 4(d) — detention for tests must be dealt with on priority and continued detention </w:t>
      </w:r>
      <w:r>
        <w:rPr>
          <w:b/>
        </w:rPr>
        <w:t>in excess of three days must be brought to the notice of the Commissioner of Customs</w:t>
      </w:r>
      <w:r>
        <w:t xml:space="preserve">. </w:t>
      </w:r>
      <w:r>
        <w:rPr>
          <w:i/>
        </w:rPr>
        <w:t xml:space="preserve">(Note: this circular is on its face concerned with </w:t>
      </w:r>
      <w:r>
        <w:rPr>
          <w:i/>
        </w:rPr>
        <w:t>export</w:t>
      </w:r>
      <w:r>
        <w:rPr>
          <w:i/>
        </w:rPr>
        <w:t xml:space="preserve"> goods. It is available here only because this Court applied it in </w:t>
      </w:r>
      <w:r>
        <w:rPr>
          <w:i/>
        </w:rPr>
        <w:t>B.V. Leathers</w:t>
      </w:r>
      <w:r>
        <w:rPr>
          <w:i/>
        </w:rPr>
        <w:t xml:space="preserve"> — it must be pleaded in that way, and never as an import circular.)</w:t>
      </w:r>
    </w:p>
    <w:p>
      <w:pPr>
        <w:pStyle w:val="ListBullet"/>
      </w:pPr>
      <w:r>
        <w:t>*</w:t>
      </w:r>
      <w:r>
        <w:rPr>
          <w:b/>
        </w:rPr>
        <w:t>Principal Commissioner of Customs-III (SIIB), Chennai v. M/s. B.V. Leathers</w:t>
      </w:r>
      <w:r>
        <w:rPr>
          <w:i/>
        </w:rPr>
        <w:t xml:space="preserve">, Madras High Court (DB), 19.09.2017 — against </w:t>
      </w:r>
      <w:r>
        <w:rPr>
          <w:i/>
        </w:rPr>
        <w:t>this very formation</w:t>
      </w:r>
      <w:r>
        <w:t>*, provisional release sustained, with para 4 of Circular 01/2011 set out at length.</w:t>
      </w:r>
    </w:p>
    <w:p>
      <w:pPr>
        <w:pStyle w:val="ListBullet"/>
      </w:pPr>
      <w:r>
        <w:rPr>
          <w:b/>
        </w:rPr>
        <w:t>MEPZ SOP, F.No. MEPZ-MSM043(C)/226/2025-SEZ Chennai</w:t>
      </w:r>
      <w:r>
        <w:t xml:space="preserve">, clauses 3, 4, 5, 6 and 10 — examination at the time of warehousing, by the </w:t>
      </w:r>
      <w:r>
        <w:rPr>
          <w:b/>
        </w:rPr>
        <w:t>Authorised Officer</w:t>
      </w:r>
      <w:r>
        <w:t xml:space="preserve">; three tamper-proof sets; seal numbers and marks recorded in the examination report; one set to CRCL and one to a NABL laboratory; the </w:t>
      </w:r>
      <w:r>
        <w:rPr>
          <w:b/>
        </w:rPr>
        <w:t>third retained by the Authorised Officer for dispute resolution, audit or adjudication</w:t>
      </w:r>
      <w:r>
        <w:t>; OOC on the first report; and no deviation save with written reasons approved by the competent authority.</w:t>
      </w:r>
    </w:p>
    <w:p>
      <w:pPr>
        <w:jc w:val="both"/>
      </w:pPr>
      <w:r>
        <w:rPr>
          <w:b/>
        </w:rPr>
        <w:t>The grievance in law.</w:t>
      </w:r>
      <w:r>
        <w:t xml:space="preserve"> The safeguards breached are not formalities: the third retained set and the recorded seals are what make a laboratory result </w:t>
      </w:r>
      <w:r>
        <w:rPr>
          <w:i/>
        </w:rPr>
        <w:t>attributable</w:t>
      </w:r>
      <w:r>
        <w:t xml:space="preserve"> to these packages. Their absence means that </w:t>
      </w:r>
      <w:r>
        <w:rPr>
          <w:b/>
        </w:rPr>
        <w:t>no opinion founded on these samples can be shown to relate to these goods</w:t>
      </w:r>
      <w:r>
        <w:t xml:space="preserve"> — the chain of custody is broken at the source, and the breach is the Department's own. It also means the Company's Circular 30/2017 rights (presence at sampling, certification that the sample is representative, immediate communication of the result, re-test) have been rendered incapable of exercise. And CRCL's own turnaround in February 2026 — drawn 05.02.2026, reported 06.02.2026 — destroys any suggestion that the present hold is explained by laboratory delay.</w:t>
      </w:r>
    </w:p>
    <w:p>
      <w:pPr>
        <w:pStyle w:val="Heading3"/>
      </w:pPr>
      <w:r>
        <w:t>Grievance 5 — The same unit, the same commodity and the same question are being investigated over and over again by one formation after another</w:t>
      </w:r>
    </w:p>
    <w:p>
      <w:pPr>
        <w:jc w:val="both"/>
      </w:pPr>
      <w:r>
        <w:rPr>
          <w:b/>
        </w:rPr>
        <w:t>The facts.</w:t>
      </w:r>
      <w:r>
        <w:t xml:space="preserve"> February–March 2026: sampling by the SEZ formation on the Development Commissioner's Test Memos, CRCL testing of copper </w:t>
      </w:r>
      <w:r>
        <w:rPr>
          <w:i/>
        </w:rPr>
        <w:t>and</w:t>
      </w:r>
      <w:r>
        <w:t xml:space="preserve"> precious-metal content, a hold on DRI (New Delhi) directions, referral to SIIB Chennai-III, and release by OOC on 20.03.2026 with no seizure, no notice and no adverse finding. </w:t>
      </w:r>
      <w:r>
        <w:rPr>
          <w:b/>
        </w:rPr>
        <w:t>Six months later</w:t>
      </w:r>
      <w:r>
        <w:t xml:space="preserve">: the identical commodity of the identical unit from the identical supplier, held and sampled by </w:t>
      </w:r>
      <w:r>
        <w:rPr>
          <w:b/>
        </w:rPr>
        <w:t>SIIB at the Air Cargo Complex on 07.08.2026</w:t>
      </w:r>
      <w:r>
        <w:t xml:space="preserve"> and by </w:t>
      </w:r>
      <w:r>
        <w:rPr>
          <w:b/>
        </w:rPr>
        <w:t>SIIB, Chennai-III (Preventive) in the Unit on 10.08.2026</w:t>
      </w:r>
      <w:r>
        <w:t xml:space="preserve"> — two formations, three days apart, on the same question of precious metal in blister copper. Both drawals are recorded on DIN.</w:t>
      </w:r>
    </w:p>
    <w:p>
      <w:pPr>
        <w:jc w:val="both"/>
      </w:pPr>
      <w:r>
        <w:rPr>
          <w:b/>
        </w:rPr>
        <w:t>The law.</w:t>
      </w:r>
    </w:p>
    <w:p>
      <w:pPr>
        <w:pStyle w:val="ListBullet"/>
      </w:pPr>
      <w:r>
        <w:rPr>
          <w:b/>
        </w:rPr>
        <w:t>Instruction No. 27/2024-Customs dated 01.11.2024</w:t>
      </w:r>
      <w:r>
        <w:t xml:space="preserve"> (F. No. 394/39(14)/2018-Commr.(Inv.-Cus.)), issued for precisely this category of investigation:</w:t>
      </w:r>
    </w:p>
    <w:p>
      <w:pPr>
        <w:pStyle w:val="ListBullet"/>
      </w:pPr>
      <w:r>
        <w:rPr>
          <w:b/>
        </w:rPr>
        <w:t>para 2.1</w:t>
      </w:r>
      <w:r>
        <w:t xml:space="preserve"> — "Each investigation must be initiated only after the approval of the Commissioner", and is to be concluded "normally not more than one year";</w:t>
      </w:r>
    </w:p>
    <w:p>
      <w:pPr>
        <w:pStyle w:val="ListBullet"/>
      </w:pPr>
      <w:r>
        <w:rPr>
          <w:b/>
        </w:rPr>
        <w:t>para 2.3</w:t>
      </w:r>
      <w:r>
        <w:t xml:space="preserve"> — the pre-initiation analysis "should extend to checking open-source information and </w:t>
      </w:r>
      <w:r>
        <w:rPr>
          <w:b/>
        </w:rPr>
        <w:t>the entries in DIGIT and DIN in terms of the existing investigations related to the same entity and also if an investigation on the same issue exists</w:t>
      </w:r>
      <w:r>
        <w:t>";</w:t>
      </w:r>
    </w:p>
    <w:p>
      <w:pPr>
        <w:pStyle w:val="ListBullet"/>
      </w:pPr>
      <w:r>
        <w:rPr>
          <w:b/>
        </w:rPr>
        <w:t>para 2.5</w:t>
      </w:r>
      <w:r>
        <w:t xml:space="preserve"> — relevancy to be recorded on the e-file "so as not to have repeated issuance of letter/summons or seeking of piecemeal information"; prior reasoned approval of the content of a summons by an officer not below Deputy/Assistant Commissioner; the statement and mahazar to be uploaded and put up to the Additional/Joint Commissioner "within 4 working days"; the summons to "disclose the specific nature of the inquiry"; and — "</w:t>
      </w:r>
      <w:r>
        <w:rPr>
          <w:b/>
        </w:rPr>
        <w:t>Issuing letter/summons with context or content akin to a fishing inquiry is not acceptable</w:t>
      </w:r>
      <w:r>
        <w:t>".</w:t>
      </w:r>
    </w:p>
    <w:p>
      <w:pPr>
        <w:pStyle w:val="ListBullet"/>
      </w:pPr>
      <w:r>
        <w:rPr>
          <w:b/>
        </w:rPr>
        <w:t>The Department speaks with one voice.</w:t>
      </w:r>
      <w:r>
        <w:t xml:space="preserve"> *</w:t>
      </w:r>
      <w:r>
        <w:rPr>
          <w:b/>
        </w:rPr>
        <w:t>Birla Corporation Ltd. v. Commissioner of Central Excise</w:t>
      </w:r>
      <w:r>
        <w:rPr>
          <w:i/>
        </w:rPr>
        <w:t xml:space="preserve">, (2005) 6 SCC 95 — "We cannot permit the Revenue to take a different stand in this case"; </w:t>
      </w:r>
      <w:r>
        <w:t>Damodar J. Malpani</w:t>
      </w:r>
      <w:r>
        <w:rPr>
          <w:i/>
        </w:rPr>
        <w:t xml:space="preserve">; </w:t>
      </w:r>
      <w:r>
        <w:t>ITC Ltd.</w:t>
      </w:r>
      <w:r>
        <w:rPr>
          <w:i/>
        </w:rPr>
        <w:t xml:space="preserve">; </w:t>
      </w:r>
      <w:r>
        <w:t>Priya Blue Industries</w:t>
      </w:r>
      <w:r>
        <w:rPr>
          <w:i/>
        </w:rPr>
        <w:t xml:space="preserve">. The view taken is the view of the </w:t>
      </w:r>
      <w:r>
        <w:rPr>
          <w:i/>
        </w:rPr>
        <w:t>Department</w:t>
      </w:r>
      <w:r>
        <w:t>*, not of an individual officer; one formation cannot reopen what the Department has already examined and let go.</w:t>
      </w:r>
    </w:p>
    <w:p>
      <w:pPr>
        <w:pStyle w:val="ListBullet"/>
      </w:pPr>
      <w:r>
        <w:rPr>
          <w:b/>
        </w:rPr>
        <w:t>Article 14 and contemporaneous past clearances.</w:t>
      </w:r>
      <w:r>
        <w:t xml:space="preserve"> *</w:t>
      </w:r>
      <w:r>
        <w:rPr>
          <w:b/>
        </w:rPr>
        <w:t>M/s. Hi Rexine v. Addl. Commissioner of Customs (SEZ-FTWZ), Preventive Commissionerate</w:t>
      </w:r>
      <w:r>
        <w:rPr>
          <w:i/>
        </w:rPr>
        <w:t xml:space="preserve">, Madras High Court, W.P. No. 28694 of 2025, 23.09.2025 — provisional release conditions interfered with, relying on </w:t>
      </w:r>
      <w:r>
        <w:t>Navshakti Industries</w:t>
      </w:r>
      <w:r>
        <w:rPr>
          <w:i/>
        </w:rPr>
        <w:t xml:space="preserve">, 2011 (269) E.L.T. (A-146) (SC) and on </w:t>
      </w:r>
      <w:r>
        <w:rPr>
          <w:i/>
        </w:rPr>
        <w:t>past contemporaneous clearances of the very same goods</w:t>
      </w:r>
      <w:r>
        <w:rPr>
          <w:i/>
        </w:rPr>
        <w:t xml:space="preserve"> by the proper officer. Eighteen prior clearances, and the CRCL reports of 06.02.2026, are that material here. </w:t>
      </w:r>
      <w:r>
        <w:t>(Full order to be obtained.)*</w:t>
      </w:r>
    </w:p>
    <w:p>
      <w:pPr>
        <w:pStyle w:val="ListBullet"/>
      </w:pPr>
      <w:r>
        <w:t xml:space="preserve">On consolidating parallel investigations before the formation that moved first, </w:t>
      </w:r>
      <w:r>
        <w:rPr>
          <w:i/>
        </w:rPr>
        <w:t>Vivek Narsaria v. State of Jharkhand</w:t>
      </w:r>
      <w:r>
        <w:t>, Jharkhand High Court, 15.01.2024 (a GST matter, cited for the principle only).</w:t>
      </w:r>
    </w:p>
    <w:p>
      <w:pPr>
        <w:jc w:val="both"/>
      </w:pPr>
      <w:r>
        <w:rPr>
          <w:b/>
        </w:rPr>
        <w:t>The grievance in law.</w:t>
      </w:r>
      <w:r>
        <w:t xml:space="preserve"> The Company is being made to answer the same question to a succession of formations, none of which has produced an approval to investigate, a DIGIT/DIN check, or the result of the last enquiry. That is harassment in the sense in which the Board's own Instruction uses the word, and it is arbitrary.</w:t>
      </w:r>
    </w:p>
    <w:p>
      <w:pPr>
        <w:pStyle w:val="Heading3"/>
      </w:pPr>
      <w:r>
        <w:t>Grievance 6 — The summons: a statement recorded under a document that the Department's own record shows did not yet exist</w:t>
      </w:r>
    </w:p>
    <w:p>
      <w:pPr>
        <w:jc w:val="both"/>
      </w:pPr>
      <w:r>
        <w:rPr>
          <w:b/>
        </w:rPr>
        <w:t>The facts.</w:t>
      </w:r>
      <w:r>
        <w:t xml:space="preserve"> The summons dated 10.08.2026 in F.No. GEN/INV/DR/170//2026-SIIB </w:t>
      </w:r>
      <w:r>
        <w:rPr>
          <w:b/>
        </w:rPr>
        <w:t>bears DIN-20260873MY0000276822 printed on its face</w:t>
      </w:r>
      <w:r>
        <w:t xml:space="preserve"> and requires attendance at </w:t>
      </w:r>
      <w:r>
        <w:rPr>
          <w:b/>
        </w:rPr>
        <w:t>5.00 p.m. on 10.08.2026</w:t>
      </w:r>
      <w:r>
        <w:t xml:space="preserve">. The statement was recorded at about </w:t>
      </w:r>
      <w:r>
        <w:rPr>
          <w:b/>
        </w:rPr>
        <w:t>1700 hours on 10.08.2026</w:t>
      </w:r>
      <w:r>
        <w:t xml:space="preserve">. The Board's DIN verification utility shows the DIN as generated at </w:t>
      </w:r>
      <w:r>
        <w:rPr>
          <w:b/>
        </w:rPr>
        <w:t>21:05:58 hours on 10.08.2026</w:t>
      </w:r>
      <w:r>
        <w:t xml:space="preserve">. The goods were seized at about </w:t>
      </w:r>
      <w:r>
        <w:rPr>
          <w:b/>
        </w:rPr>
        <w:t>0135 hours on 11.08.2026</w:t>
      </w:r>
      <w:r>
        <w:t>. No signature or acknowledgment was taken from Shri A. Krishnesh Raja, and no copy of his statement was given to him.</w:t>
      </w:r>
    </w:p>
    <w:p>
      <w:pPr>
        <w:jc w:val="both"/>
      </w:pPr>
      <w:r>
        <w:rPr>
          <w:b/>
        </w:rPr>
        <w:t>The law.</w:t>
      </w:r>
    </w:p>
    <w:p>
      <w:pPr>
        <w:pStyle w:val="ListBullet"/>
      </w:pPr>
      <w:r>
        <w:rPr>
          <w:b/>
        </w:rPr>
        <w:t>Circular No. 37/2019-Customs dated 05.11.2019</w:t>
      </w:r>
      <w:r>
        <w:t xml:space="preserve"> (in exercise of the power under </w:t>
      </w:r>
      <w:r>
        <w:rPr>
          <w:b/>
        </w:rPr>
        <w:t>Section 151A</w:t>
      </w:r>
      <w:r>
        <w:t xml:space="preserve">, Customs Act, 1962), and its GST counterpart </w:t>
      </w:r>
      <w:r>
        <w:rPr>
          <w:b/>
        </w:rPr>
        <w:t>Circular No. 122/41/2019-GST</w:t>
      </w:r>
      <w:r>
        <w:t xml:space="preserve"> of the same date: </w:t>
      </w:r>
      <w:r>
        <w:rPr>
          <w:b/>
        </w:rPr>
        <w:t>no search authorisation, summons, arrest memo, inspection notice or letter issued in the course of any enquiry shall be issued on or after 08.11.2019 without a computer-generated DIN being duly quoted prominently in the body of such communication</w:t>
      </w:r>
      <w:r>
        <w:t xml:space="preserve">. Para 3 permits issue without a DIN only in stated exigencies, </w:t>
      </w:r>
      <w:r>
        <w:rPr>
          <w:b/>
        </w:rPr>
        <w:t>after recording reasons in writing in the file</w:t>
      </w:r>
      <w:r>
        <w:t xml:space="preserve">, and the communication "shall expressly state that it has been issued without a DIN"; para 4 — any specified communication which does not bear the electronically generated DIN and is not covered by para 3 </w:t>
      </w:r>
      <w:r>
        <w:rPr>
          <w:b/>
        </w:rPr>
        <w:t>"shall be treated as invalid and shall be deemed to have never been issued"</w:t>
      </w:r>
      <w:r>
        <w:t xml:space="preserve">; para 5 — such a communication must be regularised within fifteen working days by post-facto approval of the immediate superior and mandatory generation of the DIN thereafter. Extended to </w:t>
      </w:r>
      <w:r>
        <w:rPr>
          <w:b/>
        </w:rPr>
        <w:t>all</w:t>
      </w:r>
      <w:r>
        <w:t xml:space="preserve"> communications, including e-mails, by </w:t>
      </w:r>
      <w:r>
        <w:rPr>
          <w:b/>
        </w:rPr>
        <w:t>Circular No. 43/2019-Customs dated 23.12.2019</w:t>
      </w:r>
      <w:r>
        <w:t xml:space="preserve"> (GST counterpart Circular No. 128/47/2019-GST), with effect from 24.12.2019.</w:t>
      </w:r>
    </w:p>
    <w:p>
      <w:pPr>
        <w:pStyle w:val="ListBullet"/>
      </w:pPr>
      <w:r>
        <w:t>*</w:t>
      </w:r>
      <w:r>
        <w:rPr>
          <w:b/>
        </w:rPr>
        <w:t>Pradeep Goyal v. Union of India</w:t>
      </w:r>
      <w:r>
        <w:rPr>
          <w:i/>
        </w:rPr>
        <w:t xml:space="preserve">, Supreme Court, W.P.(C) No. 320 of 2022, 18.07.2022 — the DIN system was directed to be implemented across the States precisely because it "will usher in transparency and accountability in the indirect tax administration" and, in the petitioner's submission which the Union did not dispute, </w:t>
      </w:r>
      <w:r>
        <w:rPr>
          <w:i/>
        </w:rPr>
        <w:t>"may prevent any abuse by the Departmental Officers of pre-dating communications and ratifying actions by authorizations subsequently made out in the files"</w:t>
      </w:r>
      <w:r>
        <w:t>*. That is the mischief the record here discloses.</w:t>
      </w:r>
    </w:p>
    <w:p>
      <w:pPr>
        <w:pStyle w:val="ListBullet"/>
      </w:pPr>
      <w:r>
        <w:rPr>
          <w:b/>
        </w:rPr>
        <w:t>Instruction No. 27/2024-Customs, para 2.5</w:t>
      </w:r>
      <w:r>
        <w:t xml:space="preserve"> — prior reasoned approval of the content of the summons; the summons to disclose the specific nature of the inquiry; the statement and the mahazar to be put up to the Additional/Joint Commissioner within four working days.</w:t>
      </w:r>
    </w:p>
    <w:p>
      <w:pPr>
        <w:pStyle w:val="ListBullet"/>
      </w:pPr>
      <w:r>
        <w:rPr>
          <w:b/>
        </w:rPr>
        <w:t>Section 108</w:t>
      </w:r>
      <w:r>
        <w:t>, Customs Act, 1962 — the power to summon and to record evidence. A statement recorded under a summons that was not in existence is not a statement recorded in the exercise of that power.</w:t>
      </w:r>
    </w:p>
    <w:p>
      <w:pPr>
        <w:jc w:val="both"/>
      </w:pPr>
      <w:r>
        <w:rPr>
          <w:b/>
        </w:rPr>
        <w:t>The grievance in law, stated with care.</w:t>
      </w:r>
      <w:r>
        <w:t xml:space="preserve"> The document carries the DIN on its face. It therefore </w:t>
      </w:r>
      <w:r>
        <w:rPr>
          <w:b/>
        </w:rPr>
        <w:t>could not have existed in that form before 21:05:58 hours on 10.08.2026</w:t>
      </w:r>
      <w:r>
        <w:t xml:space="preserve">, yet it commands attendance at 5.00 p.m. that day and a statement was in fact taken at that hour. Either the summons was made out after the event, or the DIN was generated after the summons was used — and on the Board's own circular a specified communication issued without a validly generated DIN, outside the recorded exigencies, "shall be treated as invalid and shall be deemed to have never been issued". This is to be pleaded as </w:t>
      </w:r>
      <w:r>
        <w:rPr>
          <w:b/>
        </w:rPr>
        <w:t>an irregularity apparent on the face of the record which the Department must explain, and as invalidity of the summons under the Board's own circular</w:t>
      </w:r>
      <w:r>
        <w:t xml:space="preserve"> — and </w:t>
      </w:r>
      <w:r>
        <w:rPr>
          <w:i/>
        </w:rPr>
        <w:t>not</w:t>
      </w:r>
      <w:r>
        <w:t>, on the present material, as an established offence of fabrication. The absence of any signature or acknowledgment of the employee, and the failure to give him a copy, compound it: there is nothing to show what he was asked, what he said, or that he ever saw the summons at all.</w:t>
      </w:r>
    </w:p>
    <w:p>
      <w:pPr>
        <w:pStyle w:val="Heading3"/>
      </w:pPr>
      <w:r>
        <w:t>Grievance 7 — An assessed Z-type Bill of Entry has been set at naught by officers in whom no such power vests</w:t>
      </w:r>
    </w:p>
    <w:p>
      <w:pPr>
        <w:jc w:val="both"/>
      </w:pPr>
      <w:r>
        <w:rPr>
          <w:b/>
        </w:rPr>
        <w:t>The facts.</w:t>
      </w:r>
      <w:r>
        <w:t xml:space="preserve"> Both Bills of Entry were assessed by the proper officer on 01.08.2026 on transaction value under Rule 4. Neither has been re-assessed, provisionally assessed, or made the subject of a speaking order. Both consignments have nevertheless been stopped.</w:t>
      </w:r>
    </w:p>
    <w:p>
      <w:pPr>
        <w:jc w:val="both"/>
      </w:pPr>
      <w:r>
        <w:rPr>
          <w:b/>
        </w:rPr>
        <w:t>The law.</w:t>
      </w:r>
      <w:r>
        <w:t xml:space="preserve"> An assessment can be disturbed only under </w:t>
      </w:r>
      <w:r>
        <w:rPr>
          <w:b/>
        </w:rPr>
        <w:t>Section 17(4) and (5)</w:t>
      </w:r>
      <w:r>
        <w:t xml:space="preserve"> (re-assessment, with a speaking order where the importer does not accept it) or </w:t>
      </w:r>
      <w:r>
        <w:rPr>
          <w:b/>
        </w:rPr>
        <w:t>Section 18</w:t>
      </w:r>
      <w:r>
        <w:t xml:space="preserve"> (provisional assessment). Under </w:t>
      </w:r>
      <w:r>
        <w:rPr>
          <w:b/>
        </w:rPr>
        <w:t>Rule 29(2)</w:t>
      </w:r>
      <w:r>
        <w:t xml:space="preserve">, SEZ Rules, 2006, the Bill of Entry assessed and endorsed by the Authorised Officer </w:t>
      </w:r>
      <w:r>
        <w:rPr>
          <w:b/>
        </w:rPr>
        <w:t>is itself the permission</w:t>
      </w:r>
      <w:r>
        <w:t xml:space="preserve"> to move the goods into the Zone; Rules 27(10) and 75 make inward movement self-declaration based. "Proper officer" in </w:t>
      </w:r>
      <w:r>
        <w:rPr>
          <w:b/>
        </w:rPr>
        <w:t>Section 2(34)</w:t>
      </w:r>
      <w:r>
        <w:t xml:space="preserve"> means the officer to whom the particular function is assigned — and no instrument in the SEZ/ICEGATE chain (Rule 29; the Bill of Entry (Electronic Integrated Declaration and Paperless Processing) Regulations, 2018, Notification No. 36/2018-Cus. (N.T.); the Department of Commerce letters of 22.06.2024 and 29.06.2024; the DG Systems advisories; ICES Advisory No. 13/2026) confers on any officer a power to withhold, suspend or keep in abeyance a Bill of Entry that has already been assessed, or to stop the movement of goods under it. An investigation wing is not the assessing authority.</w:t>
      </w:r>
    </w:p>
    <w:p>
      <w:pPr>
        <w:jc w:val="both"/>
      </w:pPr>
      <w:r>
        <w:rPr>
          <w:b/>
        </w:rPr>
        <w:t>The grievance in law.</w:t>
      </w:r>
      <w:r>
        <w:t xml:space="preserve"> The practical effect of the two holds is a re-assessment without a re-assessment: the assessed document is treated as suspended, without the speaking order and without the appeal that Section 17(5) would have carried with it.</w:t>
      </w:r>
    </w:p>
    <w:p>
      <w:pPr>
        <w:pStyle w:val="Heading3"/>
      </w:pPr>
      <w:r>
        <w:t>Grievance 8 — Section 49 was available and was not used; there is not even a lawful custody</w:t>
      </w:r>
    </w:p>
    <w:p>
      <w:pPr>
        <w:jc w:val="both"/>
      </w:pPr>
      <w:r>
        <w:rPr>
          <w:b/>
        </w:rPr>
        <w:t>The law.</w:t>
      </w:r>
      <w:r>
        <w:t xml:space="preserve"> </w:t>
      </w:r>
      <w:r>
        <w:rPr>
          <w:b/>
        </w:rPr>
        <w:t>Section 49</w:t>
      </w:r>
      <w:r>
        <w:t xml:space="preserve">, as substituted by Section 102 of the Finance Act, 2017: where imported goods entered for home consumption cannot be cleared within a reasonable time, or dutiable goods entered for warehousing cannot be removed for deposit in a warehouse within a reasonable time, "the goods may pending clearance or removal, as the case may be, be permitted to be stored in a public warehouse for a period not exceeding thirty days", extendable by the Principal Commissioner/Commissioner "for a further period not exceeding thirty days at a time", Chapter IX not applying — read with </w:t>
      </w:r>
      <w:r>
        <w:rPr>
          <w:b/>
        </w:rPr>
        <w:t>Circular No. 84/95-Cus.</w:t>
      </w:r>
      <w:r>
        <w:t xml:space="preserve"> In </w:t>
      </w:r>
      <w:r>
        <w:rPr>
          <w:i/>
        </w:rPr>
        <w:t>Exim Incorporation</w:t>
      </w:r>
      <w:r>
        <w:t xml:space="preserve"> the Bombay High Court treated the Department's failure to deal with the Section 49 request as an aggravating feature of an unlawful hold.</w:t>
      </w:r>
    </w:p>
    <w:p>
      <w:pPr>
        <w:jc w:val="both"/>
      </w:pPr>
      <w:r>
        <w:rPr>
          <w:b/>
        </w:rPr>
        <w:t>The grievance in law.</w:t>
      </w:r>
      <w:r>
        <w:t xml:space="preserve"> Even on the most charitable view of the officers' intentions, the lawful course — where testing was thought necessary — was to permit the goods to be warehoused, or (for the FTWZ consignment) to allow them to remain in the Unit under the SOP and to complete the test in days, as CRCL demonstrably can. Instead the goods sit at an airport accruing demurrage, and in a bonded unit under an undocumented seizure.</w:t>
      </w:r>
    </w:p>
    <w:p>
      <w:pPr>
        <w:pStyle w:val="Heading3"/>
      </w:pPr>
      <w:r>
        <w:t>Grievance 9 — Gross negligence and dereliction in the exercise of coercive power, and the loss it has caused</w:t>
      </w:r>
    </w:p>
    <w:p>
      <w:pPr>
        <w:jc w:val="both"/>
      </w:pPr>
      <w:r>
        <w:rPr>
          <w:b/>
        </w:rPr>
        <w:t>The facts, taken together.</w:t>
      </w:r>
      <w:r>
        <w:t xml:space="preserve"> Entry into a bonded unit inside a notified Zone without showing authority and without the Section 22 record. Sampling twice over with no memo, no seals, no receipt and no retained set. Seizure of Rs. 7.78 crore of goods at 0135 hours with no order, no grounds and no inventory, so that neither the quantity nor the packages taken stand recorded anywhere. A statement taken at 1700 hours under a summons whose DIN was generated at 21:05:58 that night, unsigned and uncopied. And all of it on the identical commodity of the identical unit which the Development Commissioner's own office had caused to be examined and tested six months earlier, without any check of the existing record.</w:t>
      </w:r>
    </w:p>
    <w:p>
      <w:pPr>
        <w:jc w:val="both"/>
      </w:pPr>
      <w:r>
        <w:rPr>
          <w:b/>
        </w:rPr>
        <w:t>The law.</w:t>
      </w:r>
      <w:r>
        <w:t xml:space="preserve"> These are not competing views on classification; each is the omission of a </w:t>
      </w:r>
      <w:r>
        <w:rPr>
          <w:b/>
        </w:rPr>
        <w:t>mandatory safeguard</w:t>
      </w:r>
      <w:r>
        <w:t xml:space="preserve"> attached to a coercive power. Cumulatively they disclose a want of care of the gravest kind in the exercise of that power. </w:t>
      </w:r>
      <w:r>
        <w:rPr>
          <w:i/>
        </w:rPr>
        <w:t>Exim Incorporation</w:t>
      </w:r>
      <w:r>
        <w:t xml:space="preserve">, following </w:t>
      </w:r>
      <w:r>
        <w:rPr>
          <w:i/>
        </w:rPr>
        <w:t>Om Udyog</w:t>
      </w:r>
      <w:r>
        <w:t>, records that officers "are not immune from accountability against abuse of power by detaining goods for indefinite period", and that "no authority can plead unlimited power of non-clearance for its own incompetence". The consequences fall on the Company (authorised operations suspended, holding and demurrage costs accruing, an assessed Z-type Bill of Entry frozen), on the Zone, and on a foreign client who placed its goods in this Zone in reliance on the FTWZ scheme administered by the Development Commissioner.</w:t>
      </w:r>
    </w:p>
    <w:p>
      <w:pPr>
        <w:jc w:val="both"/>
      </w:pPr>
      <w:r>
        <w:rPr>
          <w:b/>
        </w:rPr>
        <w:t>A caution on how far this may be taken.</w:t>
      </w:r>
      <w:r>
        <w:t xml:space="preserve"> </w:t>
      </w:r>
      <w:r>
        <w:rPr>
          <w:i/>
        </w:rPr>
        <w:t xml:space="preserve">Grievance 9 is a plea of </w:t>
      </w:r>
      <w:r>
        <w:rPr>
          <w:i/>
        </w:rPr>
        <w:t>gross negligence and dereliction of statutory duty</w:t>
      </w:r>
      <w:r>
        <w:rPr>
          <w:i/>
        </w:rPr>
        <w:t>, apparent on the face of the record. It is not, on the present material, a plea of theft, forgery, fabrication or criminal conspiracy, and it must not be drafted as one.</w:t>
      </w:r>
      <w:r>
        <w:t xml:space="preserve"> Section 155 of the Customs Act bars a proceeding against an officer for anything "done or ordered to be done in good faith" under the Act, with a one-month notice requirement and a strict limitation; Section 218 of the BNSS requires Central Government sanction for prosecution of a public servant for an official act; and Section 223(2) BNSS now bars a Magistrate from taking cognizance against a public servant for an official act without a report from his superior and an opportunity to him. A criminal complaint is therefore, at best, leverage — and it will not bring the copper back.</w:t>
      </w:r>
    </w:p>
    <w:p>
      <w:pPr>
        <w:pStyle w:val="Heading3"/>
      </w:pPr>
      <w:r>
        <w:t>Grievance 10 — No remedy short of the writ jurisdiction</w:t>
      </w:r>
    </w:p>
    <w:p>
      <w:pPr>
        <w:jc w:val="both"/>
      </w:pPr>
      <w:r>
        <w:rPr>
          <w:b/>
        </w:rPr>
        <w:t>The facts.</w:t>
      </w:r>
      <w:r>
        <w:t xml:space="preserve"> In February–March 2026, a written demand for a panchanama and an application under Section 110A produced neither a document nor a decision — only a redirection from the Authorised Officer to SIIB and, at SIIB, a representative "repeatedly sent from one officer to another". In the present matter there is no document at all, and therefore nothing that can be appealed against.</w:t>
      </w:r>
    </w:p>
    <w:p>
      <w:pPr>
        <w:jc w:val="both"/>
      </w:pPr>
      <w:r>
        <w:rPr>
          <w:b/>
        </w:rPr>
        <w:t>The law.</w:t>
      </w:r>
      <w:r>
        <w:t xml:space="preserve"> There is no appealable order and no other efficacious remedy: an appeal under Section 128 presupposes a decision or order, and there is none. Where goods are held without any writing, the High Court's jurisdiction under </w:t>
      </w:r>
      <w:r>
        <w:rPr>
          <w:b/>
        </w:rPr>
        <w:t>Article 226</w:t>
      </w:r>
      <w:r>
        <w:t xml:space="preserve"> is the only remedy, and it is regularly exercised in exactly this situation — </w:t>
      </w:r>
      <w:r>
        <w:rPr>
          <w:i/>
        </w:rPr>
        <w:t>Jatinder Kumar Sachdeva</w:t>
      </w:r>
      <w:r>
        <w:t xml:space="preserve">, </w:t>
      </w:r>
      <w:r>
        <w:rPr>
          <w:i/>
        </w:rPr>
        <w:t>Exim Incorporation</w:t>
      </w:r>
      <w:r>
        <w:t xml:space="preserve">, </w:t>
      </w:r>
      <w:r>
        <w:rPr>
          <w:i/>
        </w:rPr>
        <w:t>S.J. Fabrics</w:t>
      </w:r>
      <w:r>
        <w:t xml:space="preserve">, </w:t>
      </w:r>
      <w:r>
        <w:rPr>
          <w:i/>
        </w:rPr>
        <w:t>B.V. Leathers</w:t>
      </w:r>
      <w:r>
        <w:t xml:space="preserve">, </w:t>
      </w:r>
      <w:r>
        <w:rPr>
          <w:i/>
        </w:rPr>
        <w:t>Hi Rexine</w:t>
      </w:r>
      <w:r>
        <w:t>.</w:t>
      </w:r>
    </w:p>
    <w:p>
      <w:pPr>
        <w:pStyle w:val="Heading2"/>
      </w:pPr>
      <w:r>
        <w:t>PART III — WHAT THE COMPANY ASKS FOR, AND IN WHAT ORDER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Step</w:t>
            </w:r>
          </w:p>
        </w:tc>
        <w:tc>
          <w:tcPr>
            <w:tcW w:type="dxa" w:w="3120"/>
          </w:tcPr>
          <w:p>
            <w:r>
              <w:rPr>
                <w:b/>
              </w:rPr>
            </w:r>
            <w:r>
              <w:rPr>
                <w:b/>
              </w:rPr>
              <w:t>Forum</w:t>
            </w:r>
          </w:p>
        </w:tc>
        <w:tc>
          <w:tcPr>
            <w:tcW w:type="dxa" w:w="3120"/>
          </w:tcPr>
          <w:p>
            <w:r>
              <w:rPr>
                <w:b/>
              </w:rPr>
            </w:r>
            <w:r>
              <w:rPr>
                <w:b/>
              </w:rPr>
              <w:t>Relief</w:t>
            </w:r>
          </w:p>
        </w:tc>
      </w:tr>
      <w:tr>
        <w:tc>
          <w:tcPr>
            <w:tcW w:type="dxa" w:w="3120"/>
          </w:tcPr>
          <w:p>
            <w:r/>
            <w:r>
              <w:t>1</w:t>
            </w:r>
          </w:p>
        </w:tc>
        <w:tc>
          <w:tcPr>
            <w:tcW w:type="dxa" w:w="3120"/>
          </w:tcPr>
          <w:p>
            <w:r/>
            <w:r>
              <w:t>The officers concerned (SIIB, Chennai-III Preventive, and SIIB, ACC)</w:t>
            </w:r>
          </w:p>
        </w:tc>
        <w:tc>
          <w:tcPr>
            <w:tcW w:type="dxa" w:w="3120"/>
          </w:tcPr>
          <w:p>
            <w:r/>
            <w:r>
              <w:rPr>
                <w:b/>
              </w:rPr>
              <w:t>Immediate and unconditional release</w:t>
            </w:r>
            <w:r>
              <w:t xml:space="preserve"> of both consignments; production of the Section 22 record, the seizure order, grounds, mahazar, inventory, sampling memo and Section 144 receipt, or a statement in writing that no such document exists. The demand for the record is a call for the record — </w:t>
            </w:r>
            <w:r>
              <w:rPr>
                <w:b/>
              </w:rPr>
              <w:t>not</w:t>
            </w:r>
            <w:r>
              <w:t xml:space="preserve"> a condition of release</w:t>
            </w:r>
          </w:p>
        </w:tc>
      </w:tr>
      <w:tr>
        <w:tc>
          <w:tcPr>
            <w:tcW w:type="dxa" w:w="3120"/>
          </w:tcPr>
          <w:p>
            <w:r/>
            <w:r>
              <w:t>2</w:t>
            </w:r>
          </w:p>
        </w:tc>
        <w:tc>
          <w:tcPr>
            <w:tcW w:type="dxa" w:w="3120"/>
          </w:tcPr>
          <w:p>
            <w:r/>
            <w:r>
              <w:t>The Development Commissioner, MEPZ SEZ</w:t>
            </w:r>
          </w:p>
        </w:tc>
        <w:tc>
          <w:tcPr>
            <w:tcW w:type="dxa" w:w="3120"/>
          </w:tcPr>
          <w:p>
            <w:r/>
            <w:r>
              <w:t xml:space="preserve">Intervention: to take the matter on record, to state whether any Section 22 intimation/approval or clause 10 deviation approval exists, to direct examination and sampling by the Authorised Officer under the SOP so that the chain of custody is placed beyond dispute, to prohibit removal of the goods from the Zone, and to </w:t>
            </w:r>
            <w:r>
              <w:rPr>
                <w:b/>
              </w:rPr>
              <w:t>direct immediate and unconditional release</w:t>
            </w:r>
          </w:p>
        </w:tc>
      </w:tr>
      <w:tr>
        <w:tc>
          <w:tcPr>
            <w:tcW w:type="dxa" w:w="3120"/>
          </w:tcPr>
          <w:p>
            <w:r/>
            <w:r>
              <w:t>3</w:t>
            </w:r>
          </w:p>
        </w:tc>
        <w:tc>
          <w:tcPr>
            <w:tcW w:type="dxa" w:w="3120"/>
          </w:tcPr>
          <w:p>
            <w:r/>
            <w:r>
              <w:t xml:space="preserve">Madras High Court — </w:t>
            </w:r>
            <w:r>
              <w:rPr>
                <w:b/>
              </w:rPr>
              <w:t>two separate writ petitions</w:t>
            </w:r>
          </w:p>
        </w:tc>
        <w:tc>
          <w:tcPr>
            <w:tcW w:type="dxa" w:w="3120"/>
          </w:tcPr>
          <w:p>
            <w:r/>
            <w:r>
              <w:t>Writ 1 (B/E 2875354, ACC SIIB): release, or permission to move the goods into the FTWZ unit on bond, and in the alternative provisional release under Section 110A. Writ 2 (B/E 2875203, SIIB Chennai-III Preventive): quashing of the undocumented seizure and release, with the Section 22 grounds; in the alternative Section 110A. Both: a direction to complete and communicate testing within a fixed time; preservation of the FTWZ CCTV footage of 10.08.2026 (Department of Commerce Instruction No. 117 dated 24.09.2024 requires one year's retention accessible to the Development Commissioner); and a detention certificate for the period of the unlawful hold, pleaded in the alternative</w:t>
            </w:r>
          </w:p>
        </w:tc>
      </w:tr>
      <w:tr>
        <w:tc>
          <w:tcPr>
            <w:tcW w:type="dxa" w:w="3120"/>
          </w:tcPr>
          <w:p>
            <w:r/>
            <w:r>
              <w:t>4</w:t>
            </w:r>
          </w:p>
        </w:tc>
        <w:tc>
          <w:tcPr>
            <w:tcW w:type="dxa" w:w="3120"/>
          </w:tcPr>
          <w:p>
            <w:r/>
            <w:r>
              <w:t xml:space="preserve">Only if release is refused </w:t>
            </w:r>
            <w:r>
              <w:rPr>
                <w:b/>
              </w:rPr>
              <w:t>and</w:t>
            </w:r>
            <w:r>
              <w:t xml:space="preserve"> no seizure memo is produced</w:t>
            </w:r>
          </w:p>
        </w:tc>
        <w:tc>
          <w:tcPr>
            <w:tcW w:type="dxa" w:w="3120"/>
          </w:tcPr>
          <w:p>
            <w:r/>
            <w:r>
              <w:t>A private complaint, and a notice under Section 155. To be treated as leverage of last resort, for the reasons in Grievance 9</w:t>
            </w:r>
          </w:p>
        </w:tc>
      </w:tr>
    </w:tbl>
    <w:p/>
    <w:p>
      <w:pPr>
        <w:jc w:val="both"/>
      </w:pPr>
      <w:r>
        <w:rPr>
          <w:b/>
        </w:rPr>
        <w:t>Why two petitions and not one.</w:t>
      </w:r>
      <w:r>
        <w:t xml:space="preserve"> The unit, the commodity, the supplier and the business are the same, but the consignments, the locations and the formations are different: B/E 2875354 lies at the Air Cargo Complex and was never admitted into the Zone, so </w:t>
      </w:r>
      <w:r>
        <w:rPr>
          <w:b/>
        </w:rPr>
        <w:t>Section 22 of the SEZ Act has no application to it</w:t>
      </w:r>
      <w:r>
        <w:t>; B/E 2875203 lies in the Unit inside the Zone, where Section 22 applies in full. Pleading them together would import into the ACC matter a jurisdictional ground that is refutable on those facts.</w:t>
      </w:r>
    </w:p>
    <w:p>
      <w:pPr>
        <w:pStyle w:val="Heading2"/>
      </w:pPr>
      <w:r>
        <w:t xml:space="preserve">PART IV — WHAT IS </w:t>
      </w:r>
      <w:r>
        <w:rPr>
          <w:i/>
        </w:rPr>
        <w:t>NOT</w:t>
      </w:r>
      <w:r>
        <w:t xml:space="preserve"> ESTABLISHED (not to be pleaded as fact)</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Point</w:t>
            </w:r>
          </w:p>
        </w:tc>
        <w:tc>
          <w:tcPr>
            <w:tcW w:type="dxa" w:w="4680"/>
          </w:tcPr>
          <w:p>
            <w:r>
              <w:rPr>
                <w:b/>
              </w:rPr>
            </w:r>
            <w:r>
              <w:rPr>
                <w:b/>
              </w:rPr>
              <w:t>Status</w:t>
            </w:r>
          </w:p>
        </w:tc>
      </w:tr>
      <w:tr>
        <w:tc>
          <w:tcPr>
            <w:tcW w:type="dxa" w:w="4680"/>
          </w:tcPr>
          <w:p>
            <w:r/>
            <w:r>
              <w:t>Any seizure memo, mahazar, inventory, sampling memo or Section 144 receipt for 07.08.2026 or 10/11.08.2026</w:t>
            </w:r>
          </w:p>
        </w:tc>
        <w:tc>
          <w:tcPr>
            <w:tcW w:type="dxa" w:w="4680"/>
          </w:tcPr>
          <w:p>
            <w:r/>
            <w:r>
              <w:rPr>
                <w:b/>
              </w:rPr>
              <w:t>None furnished as at the date of this statement</w:t>
            </w:r>
          </w:p>
        </w:tc>
      </w:tr>
      <w:tr>
        <w:tc>
          <w:tcPr>
            <w:tcW w:type="dxa" w:w="4680"/>
          </w:tcPr>
          <w:p>
            <w:r/>
            <w:r>
              <w:t>The time of seizure — about 0135 hours on 11.08.2026</w:t>
            </w:r>
          </w:p>
        </w:tc>
        <w:tc>
          <w:tcPr>
            <w:tcW w:type="dxa" w:w="4680"/>
          </w:tcPr>
          <w:p>
            <w:r/>
            <w:r>
              <w:rPr>
                <w:b/>
              </w:rPr>
              <w:t>From the Company's own account. No seizure memo has been seen. To be confirmed</w:t>
            </w:r>
          </w:p>
        </w:tc>
      </w:tr>
      <w:tr>
        <w:tc>
          <w:tcPr>
            <w:tcW w:type="dxa" w:w="4680"/>
          </w:tcPr>
          <w:p>
            <w:r/>
            <w:r>
              <w:t>Whether the goods remain in the Unit under seal or have been removed from the Zone</w:t>
            </w:r>
          </w:p>
        </w:tc>
        <w:tc>
          <w:tcPr>
            <w:tcW w:type="dxa" w:w="4680"/>
          </w:tcPr>
          <w:p>
            <w:r/>
            <w:r>
              <w:rPr>
                <w:b/>
              </w:rPr>
              <w:t>Not known. Materially affects the interim prayer</w:t>
            </w:r>
          </w:p>
        </w:tc>
      </w:tr>
      <w:tr>
        <w:tc>
          <w:tcPr>
            <w:tcW w:type="dxa" w:w="4680"/>
          </w:tcPr>
          <w:p>
            <w:r/>
            <w:r>
              <w:t>Any Section 22 intimation/approval, reasons in writing, or authorisation of the jurisdictional Commissioner</w:t>
            </w:r>
          </w:p>
        </w:tc>
        <w:tc>
          <w:tcPr>
            <w:tcW w:type="dxa" w:w="4680"/>
          </w:tcPr>
          <w:p>
            <w:r/>
            <w:r>
              <w:rPr>
                <w:b/>
              </w:rPr>
              <w:t>Not produced; the Development Commissioner has been asked</w:t>
            </w:r>
          </w:p>
        </w:tc>
      </w:tr>
      <w:tr>
        <w:tc>
          <w:tcPr>
            <w:tcW w:type="dxa" w:w="4680"/>
          </w:tcPr>
          <w:p>
            <w:r/>
            <w:r>
              <w:t>Any written DRI (New Delhi) direction of February 2026, or its file number</w:t>
            </w:r>
          </w:p>
        </w:tc>
        <w:tc>
          <w:tcPr>
            <w:tcW w:type="dxa" w:w="4680"/>
          </w:tcPr>
          <w:p>
            <w:r/>
            <w:r>
              <w:rPr>
                <w:b/>
              </w:rPr>
              <w:t>Not in the record — known only from the Authorised Officer's e-mail. Plead as recorded by the Department, not as a produced document</w:t>
            </w:r>
          </w:p>
        </w:tc>
      </w:tr>
      <w:tr>
        <w:tc>
          <w:tcPr>
            <w:tcW w:type="dxa" w:w="4680"/>
          </w:tcPr>
          <w:p>
            <w:r/>
            <w:r>
              <w:t>Any written closure or NOC of the February 2026 investigation</w:t>
            </w:r>
          </w:p>
        </w:tc>
        <w:tc>
          <w:tcPr>
            <w:tcW w:type="dxa" w:w="4680"/>
          </w:tcPr>
          <w:p>
            <w:r/>
            <w:r>
              <w:rPr>
                <w:b/>
              </w:rPr>
              <w:t>None. The matter ended with OOC on the system. The earlier investigation may therefore be technically open — which itself engages Instruction 27/2024</w:t>
            </w:r>
          </w:p>
        </w:tc>
      </w:tr>
      <w:tr>
        <w:tc>
          <w:tcPr>
            <w:tcW w:type="dxa" w:w="4680"/>
          </w:tcPr>
          <w:p>
            <w:r/>
            <w:r>
              <w:t>OOC date: 20.03.2026 (ICEGATE final OOC e-mail) or 24.03.2026 (the Company's later letters)</w:t>
            </w:r>
          </w:p>
        </w:tc>
        <w:tc>
          <w:tcPr>
            <w:tcW w:type="dxa" w:w="4680"/>
          </w:tcPr>
          <w:p>
            <w:r/>
            <w:r>
              <w:rPr>
                <w:b/>
              </w:rPr>
              <w:t>To be reconciled from the OOC copy</w:t>
            </w:r>
          </w:p>
        </w:tc>
      </w:tr>
      <w:tr>
        <w:tc>
          <w:tcPr>
            <w:tcW w:type="dxa" w:w="4680"/>
          </w:tcPr>
          <w:p>
            <w:r/>
            <w:r>
              <w:t>The time at which the summons was actually served on Shri A. Krishnesh Raja</w:t>
            </w:r>
          </w:p>
        </w:tc>
        <w:tc>
          <w:tcPr>
            <w:tcW w:type="dxa" w:w="4680"/>
          </w:tcPr>
          <w:p>
            <w:r/>
            <w:r>
              <w:rPr>
                <w:b/>
              </w:rPr>
              <w:t>To be ascertained from him in writing. It matters to Grievance 6</w:t>
            </w:r>
          </w:p>
        </w:tc>
      </w:tr>
      <w:tr>
        <w:tc>
          <w:tcPr>
            <w:tcW w:type="dxa" w:w="4680"/>
          </w:tcPr>
          <w:p>
            <w:r/>
            <w:r>
              <w:t>Names and designations of the officers who acted on 07.08.2026 and on 10/11.08.2026</w:t>
            </w:r>
          </w:p>
        </w:tc>
        <w:tc>
          <w:tcPr>
            <w:tcW w:type="dxa" w:w="4680"/>
          </w:tcPr>
          <w:p>
            <w:r/>
            <w:r>
              <w:rPr>
                <w:b/>
              </w:rPr>
              <w:t>Not disclosed</w:t>
            </w:r>
          </w:p>
        </w:tc>
      </w:tr>
      <w:tr>
        <w:tc>
          <w:tcPr>
            <w:tcW w:type="dxa" w:w="4680"/>
          </w:tcPr>
          <w:p>
            <w:r/>
            <w:r>
              <w:rPr>
                <w:i/>
              </w:rPr>
              <w:t>J.K. Exim</w:t>
            </w:r>
            <w:r>
              <w:t xml:space="preserve"> (Mad. HC, W.P. 36866/2016, 19.01.2017)</w:t>
            </w:r>
          </w:p>
        </w:tc>
        <w:tc>
          <w:tcPr>
            <w:tcW w:type="dxa" w:w="4680"/>
          </w:tcPr>
          <w:p>
            <w:r/>
            <w:r>
              <w:rPr>
                <w:b/>
              </w:rPr>
              <w:t>Not traced in any primary source. Do not cite without a certified copy</w:t>
            </w:r>
          </w:p>
        </w:tc>
      </w:tr>
      <w:tr>
        <w:tc>
          <w:tcPr>
            <w:tcW w:type="dxa" w:w="4680"/>
          </w:tcPr>
          <w:p>
            <w:r/>
            <w:r>
              <w:rPr>
                <w:i/>
              </w:rPr>
              <w:t>Hi Rexine</w:t>
            </w:r>
            <w:r>
              <w:t xml:space="preserve"> (Mad. HC, W.P. 28694/2025, 23.09.2025) and </w:t>
            </w:r>
            <w:r>
              <w:rPr>
                <w:i/>
              </w:rPr>
              <w:t>Divine Chemtee</w:t>
            </w:r>
            <w:r>
              <w:t xml:space="preserve"> (AP HC, 05.05.2022)</w:t>
            </w:r>
          </w:p>
        </w:tc>
        <w:tc>
          <w:tcPr>
            <w:tcW w:type="dxa" w:w="4680"/>
          </w:tcPr>
          <w:p>
            <w:r/>
            <w:r>
              <w:rPr>
                <w:b/>
              </w:rPr>
              <w:t>Full texts to be obtained before citation</w:t>
            </w:r>
          </w:p>
        </w:tc>
      </w:tr>
    </w:tbl>
    <w:p/>
    <w:p>
      <w:pPr>
        <w:pStyle w:val="Heading2"/>
      </w:pPr>
      <w:r>
        <w:t>ANNEXURES RELIED UPON</w:t>
      </w:r>
    </w:p>
    <w:p>
      <w:pPr>
        <w:pStyle w:val="ListNumber"/>
      </w:pPr>
      <w:r>
        <w:t>Letter of Approval, F.No. 08/45/2025-NDR FTWZ-SEZ dated 22.10.2025.</w:t>
      </w:r>
    </w:p>
    <w:p>
      <w:pPr>
        <w:pStyle w:val="ListNumber"/>
      </w:pPr>
      <w:r>
        <w:t>Z-type Bill of Entry No. 2875203 dated 01.08.2026 (assessed First Copy) and Z-type Bill of Entry No. 2875354 dated 01.08.2026.</w:t>
      </w:r>
    </w:p>
    <w:p>
      <w:pPr>
        <w:pStyle w:val="ListNumber"/>
      </w:pPr>
      <w:r>
        <w:t>Standard Operating Procedure "Clearance of Blister Copper under CTH 7402", F.No. MEPZ-MSM043(C)/226/2025-SEZ Chennai (e-file No. I/131691/2026).</w:t>
      </w:r>
    </w:p>
    <w:p>
      <w:pPr>
        <w:pStyle w:val="ListNumber"/>
      </w:pPr>
      <w:r>
        <w:t>Summons dated 10.08.2026 in F.No. GEN/INV/DR/170//2026-SIIB bearing DIN-20260873MY0000276822, and the printout of the CBIC DIN verification utility showing generation at 21:05:58 hours on 10.08.2026.</w:t>
      </w:r>
    </w:p>
    <w:p>
      <w:pPr>
        <w:pStyle w:val="ListNumber"/>
      </w:pPr>
      <w:r>
        <w:t>Test Memos Nos. 02 to 07 of 2026 (NDR-FTWZ), F.No. 1162/NDR FTWZ 25-26 dated 05.02.2026.</w:t>
      </w:r>
    </w:p>
    <w:p>
      <w:pPr>
        <w:pStyle w:val="ListNumber"/>
      </w:pPr>
      <w:r>
        <w:t>CRCL Test Reports, Lab Nos. 9319 to 9324-MEPZ dated 06.02.2026, and the covering letter F.No. S.Misc/36/2013-14 LAB dated 25.02.2026.</w:t>
      </w:r>
    </w:p>
    <w:p>
      <w:pPr>
        <w:pStyle w:val="ListNumber"/>
      </w:pPr>
      <w:r>
        <w:t>E-mail of the Authorised Officer dated 24.02.2026 09:01 ("as per the prescribed procedure… including precious metal content").</w:t>
      </w:r>
    </w:p>
    <w:p>
      <w:pPr>
        <w:pStyle w:val="ListNumber"/>
      </w:pPr>
      <w:r>
        <w:t>The Company's letter dated 04.03.2026 seeking a panchanama and provisional release under Section 110A, and the Authorised Officer's reply of the same date redirecting the Company to SIIB, Chennai-III.</w:t>
      </w:r>
    </w:p>
    <w:p>
      <w:pPr>
        <w:pStyle w:val="ListNumber"/>
      </w:pPr>
      <w:r>
        <w:t>The Company's letter dated 05.03.2026 recording the visit of 26.02.2026 and the DRI-instructed hold, and the letters dated 11.03.2026 to the Principal Commissioner, SIIB, Chennai.</w:t>
      </w:r>
    </w:p>
    <w:p>
      <w:pPr>
        <w:pStyle w:val="ListNumber"/>
      </w:pPr>
      <w:r>
        <w:t>ICEGATE Final Out of Charge copy and eGatepass copy of B/E No. 7173539 dated 20.03.2026.</w:t>
      </w:r>
    </w:p>
    <w:p>
      <w:pPr>
        <w:pStyle w:val="ListNumber"/>
      </w:pPr>
      <w:r>
        <w:t>E-mail of the Authorised Officer dated 07.04.2026 13:21 forwarding the test reports and returning the remnant samples, with the authorisation dated 07.04.2026 in favour of Shri A. Krishnesh Raja.</w:t>
      </w:r>
    </w:p>
    <w:p>
      <w:pPr>
        <w:pStyle w:val="ListNumber"/>
      </w:pPr>
      <w:r>
        <w:t>Letter to the Development Commissioner, MEPZ SEZ dated 11.08.2026, and letter to SIIB, Chennai-III (Preventive) dated 11.08.2026 on jurisdiction and immediate release.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