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HIGH COURT OF JUDICATURE AT MADRAS</w:t>
      </w:r>
    </w:p>
    <w:p>
      <w:pPr>
        <w:jc w:val="center"/>
      </w:pPr>
      <w:r>
        <w:rPr>
          <w:b w:val="0"/>
        </w:rPr>
        <w:t>(SPECIAL ORIGINAL JURISDICTION)</w:t>
      </w:r>
    </w:p>
    <w:p>
      <w:pPr>
        <w:jc w:val="center"/>
      </w:pPr>
      <w:r>
        <w:rPr>
          <w:b/>
        </w:rPr>
        <w:t>W.P. No. ________ of 2026</w:t>
      </w:r>
    </w:p>
    <w:p>
      <w:pPr>
        <w:jc w:val="center"/>
      </w:pPr>
      <w:r>
        <w:rPr>
          <w:b w:val="0"/>
        </w:rPr>
        <w:t>(Petition under Article 226 of the Constitution of India)</w:t>
      </w:r>
    </w:p>
    <w:p/>
    <w:p>
      <w:pPr>
        <w:jc w:val="center"/>
      </w:pPr>
      <w:r>
        <w:rPr>
          <w:b/>
        </w:rPr>
        <w:t>In the matter of:</w:t>
      </w:r>
    </w:p>
    <w:p>
      <w:pPr>
        <w:jc w:val="both"/>
      </w:pPr>
      <w:r>
        <w:rPr>
          <w:b w:val="0"/>
        </w:rPr>
        <w:t>Aaapurti Renewable Energy India Private Limited,</w:t>
      </w:r>
    </w:p>
    <w:p>
      <w:pPr>
        <w:jc w:val="both"/>
      </w:pPr>
      <w:r>
        <w:rPr>
          <w:b w:val="0"/>
        </w:rPr>
        <w:t>a company incorporated under the Companies Act, 2013,</w:t>
      </w:r>
    </w:p>
    <w:p>
      <w:pPr>
        <w:jc w:val="both"/>
      </w:pPr>
      <w:r>
        <w:rPr>
          <w:b w:val="0"/>
        </w:rPr>
        <w:t>having its FTWZ unit at Warehouse No. 12, Part-G, Survey Nos. 161 and 162,</w:t>
      </w:r>
    </w:p>
    <w:p>
      <w:pPr>
        <w:jc w:val="both"/>
      </w:pPr>
      <w:r>
        <w:rPr>
          <w:b w:val="0"/>
        </w:rPr>
        <w:t>at the Free Trade Warehousing Zone of M/s NDR Infrastructure Private Limited,</w:t>
      </w:r>
    </w:p>
    <w:p>
      <w:pPr>
        <w:jc w:val="both"/>
      </w:pPr>
      <w:r>
        <w:rPr>
          <w:b w:val="0"/>
        </w:rPr>
        <w:t>Nandiambakkam Port Road, Chennai, Tiruvallur District, Tamil Nadu - 600 120,</w:t>
      </w:r>
    </w:p>
    <w:p>
      <w:pPr>
        <w:jc w:val="both"/>
      </w:pPr>
      <w:r>
        <w:rPr>
          <w:b w:val="0"/>
        </w:rPr>
        <w:t>within the jurisdiction of the Development Commissioner, MEPZ Special Economic Zone,</w:t>
      </w:r>
    </w:p>
    <w:p>
      <w:pPr>
        <w:jc w:val="both"/>
      </w:pPr>
      <w:r>
        <w:rPr>
          <w:b w:val="0"/>
        </w:rPr>
        <w:t>represented by its Authorised Signatory</w:t>
      </w:r>
    </w:p>
    <w:p>
      <w:pPr>
        <w:jc w:val="both"/>
      </w:pPr>
      <w:r>
        <w:rPr>
          <w:b w:val="0"/>
        </w:rPr>
        <w:t>Sri/Smt. ____________________                                   ... Petitioner</w:t>
      </w:r>
    </w:p>
    <w:p/>
    <w:p>
      <w:pPr>
        <w:jc w:val="center"/>
      </w:pPr>
      <w:r>
        <w:rPr>
          <w:b w:val="0"/>
        </w:rPr>
        <w:t>Versus</w:t>
      </w:r>
    </w:p>
    <w:p/>
    <w:p>
      <w:pPr>
        <w:jc w:val="both"/>
      </w:pPr>
      <w:r>
        <w:rPr>
          <w:b w:val="0"/>
        </w:rPr>
        <w:t>1. The Additional Commissioner of Customs,</w:t>
      </w:r>
    </w:p>
    <w:p>
      <w:pPr>
        <w:jc w:val="both"/>
      </w:pPr>
      <w:r>
        <w:rPr>
          <w:b w:val="0"/>
        </w:rPr>
        <w:t xml:space="preserve">    Special Intelligence and Investigation Branch (SIIB),</w:t>
      </w:r>
    </w:p>
    <w:p>
      <w:pPr>
        <w:jc w:val="both"/>
      </w:pPr>
      <w:r>
        <w:rPr>
          <w:b w:val="0"/>
        </w:rPr>
        <w:t xml:space="preserve">    Office of the Principal Commissioner of Customs, Chennai-III</w:t>
      </w:r>
    </w:p>
    <w:p>
      <w:pPr>
        <w:jc w:val="both"/>
      </w:pPr>
      <w:r>
        <w:rPr>
          <w:b w:val="0"/>
        </w:rPr>
        <w:t xml:space="preserve">    (Preventive Commissionerate), Custom House, No. 60, Rajaji Salai,</w:t>
      </w:r>
    </w:p>
    <w:p>
      <w:pPr>
        <w:jc w:val="both"/>
      </w:pPr>
      <w:r>
        <w:rPr>
          <w:b w:val="0"/>
        </w:rPr>
        <w:t xml:space="preserve">    Chennai - 600 001,</w:t>
      </w:r>
    </w:p>
    <w:p>
      <w:pPr>
        <w:jc w:val="both"/>
      </w:pPr>
      <w:r>
        <w:rPr>
          <w:b w:val="0"/>
        </w:rPr>
        <w:t xml:space="preserve">    through the Union of India,</w:t>
      </w:r>
    </w:p>
    <w:p>
      <w:pPr>
        <w:jc w:val="both"/>
      </w:pPr>
      <w:r>
        <w:rPr>
          <w:b w:val="0"/>
        </w:rPr>
        <w:t xml:space="preserve">    represented by the Secretary to Government,</w:t>
      </w:r>
    </w:p>
    <w:p>
      <w:pPr>
        <w:jc w:val="both"/>
      </w:pPr>
      <w:r>
        <w:rPr>
          <w:b w:val="0"/>
        </w:rPr>
        <w:t xml:space="preserve">    Ministry of Finance, Department of Revenue,</w:t>
      </w:r>
    </w:p>
    <w:p>
      <w:pPr>
        <w:jc w:val="both"/>
      </w:pPr>
      <w:r>
        <w:rPr>
          <w:b w:val="0"/>
        </w:rPr>
        <w:t xml:space="preserve">    North Block, New Delhi - 110 001.                             ... Respondent No. 1</w:t>
      </w:r>
    </w:p>
    <w:p>
      <w:pPr>
        <w:jc w:val="both"/>
      </w:pPr>
      <w:r>
        <w:rPr>
          <w:b w:val="0"/>
        </w:rPr>
        <w:t xml:space="preserve">    (the authority whose officers have, on 10.08.2026, detained the Blister Copper lying in the Petitioner's Free Trade Warehousing Zone unit, drawn samples therefrom and issued the summons in F.No. GEN/INV/DR/170//2026-SIIB bearing DIN-20260873MY0000276822)</w:t>
      </w:r>
    </w:p>
    <w:p/>
    <w:p>
      <w:pPr>
        <w:jc w:val="both"/>
      </w:pPr>
      <w:r>
        <w:rPr>
          <w:b w:val="0"/>
        </w:rPr>
        <w:t>2. The Principal Commissioner of Customs, Chennai-III</w:t>
      </w:r>
    </w:p>
    <w:p>
      <w:pPr>
        <w:jc w:val="both"/>
      </w:pPr>
      <w:r>
        <w:rPr>
          <w:b w:val="0"/>
        </w:rPr>
        <w:t xml:space="preserve">    (Preventive Commissionerate), Custom House, No. 60, Rajaji Salai,</w:t>
      </w:r>
    </w:p>
    <w:p>
      <w:pPr>
        <w:jc w:val="both"/>
      </w:pPr>
      <w:r>
        <w:rPr>
          <w:b w:val="0"/>
        </w:rPr>
        <w:t xml:space="preserve">    Chennai - 600 001.                                             ... Respondent No. 2</w:t>
      </w:r>
    </w:p>
    <w:p/>
    <w:p>
      <w:pPr>
        <w:jc w:val="both"/>
      </w:pPr>
      <w:r>
        <w:rPr>
          <w:b w:val="0"/>
        </w:rPr>
        <w:t>3. The Development Commissioner,</w:t>
      </w:r>
    </w:p>
    <w:p>
      <w:pPr>
        <w:jc w:val="both"/>
      </w:pPr>
      <w:r>
        <w:rPr>
          <w:b w:val="0"/>
        </w:rPr>
        <w:t xml:space="preserve">    MEPZ Special Economic Zone, National Highway 45,</w:t>
      </w:r>
    </w:p>
    <w:p>
      <w:pPr>
        <w:jc w:val="both"/>
      </w:pPr>
      <w:r>
        <w:rPr>
          <w:b w:val="0"/>
        </w:rPr>
        <w:t xml:space="preserve">    Tambaram, Chennai - 600 045.                                   ... Respondent No. 3</w:t>
      </w:r>
    </w:p>
    <w:p>
      <w:pPr>
        <w:jc w:val="both"/>
      </w:pPr>
      <w:r>
        <w:rPr>
          <w:b w:val="0"/>
        </w:rPr>
        <w:t xml:space="preserve">    (the authority administering the SEZ and the issuer of the Standard Operating Procedure "Clearance of Blister Copper under CTH 7402" bearing F.No. MEPZ-MSM043(C)/226/2025-SEZ Chennai (e-file No. I/131691/2026))</w:t>
      </w:r>
    </w:p>
    <w:p/>
    <w:p>
      <w:pPr>
        <w:jc w:val="both"/>
      </w:pPr>
      <w:r>
        <w:rPr>
          <w:b w:val="0"/>
        </w:rPr>
        <w:t>4. The Specified Officer / Authorised Officer,</w:t>
      </w:r>
    </w:p>
    <w:p>
      <w:pPr>
        <w:jc w:val="both"/>
      </w:pPr>
      <w:r>
        <w:rPr>
          <w:b w:val="0"/>
        </w:rPr>
        <w:t xml:space="preserve">    MEPZ Special Economic Zone,</w:t>
      </w:r>
    </w:p>
    <w:p>
      <w:pPr>
        <w:jc w:val="both"/>
      </w:pPr>
      <w:r>
        <w:rPr>
          <w:b w:val="0"/>
        </w:rPr>
        <w:t xml:space="preserve">    Tambaram, Chennai - 600 045.                                   ... Respondent No. 4</w:t>
      </w:r>
    </w:p>
    <w:p/>
    <w:p/>
    <w:p>
      <w:pPr>
        <w:jc w:val="center"/>
      </w:pPr>
      <w:r>
        <w:rPr>
          <w:b/>
        </w:rPr>
        <w:t>MEMORANDUM OF WRIT PETITION</w:t>
      </w:r>
    </w:p>
    <w:p>
      <w:pPr>
        <w:jc w:val="both"/>
      </w:pPr>
      <w:r>
        <w:rPr>
          <w:b w:val="0"/>
        </w:rPr>
        <w:t>The address for service of all notices and processes on the Petitioner is that of its counsel M/s ____________, Advocates, No. ____________, Chennai.</w:t>
      </w:r>
    </w:p>
    <w:p>
      <w:pPr>
        <w:jc w:val="both"/>
      </w:pPr>
      <w:r>
        <w:rPr>
          <w:b w:val="0"/>
        </w:rPr>
        <w:t>The address for service of all notices and processes on the Respondents is as shown in the cause title above.</w:t>
      </w:r>
    </w:p>
    <w:p/>
    <w:p/>
    <w:p>
      <w:pPr>
        <w:jc w:val="center"/>
      </w:pPr>
      <w:r>
        <w:rPr>
          <w:b/>
        </w:rPr>
        <w:t>PRAYER</w:t>
      </w:r>
    </w:p>
    <w:p>
      <w:pPr>
        <w:jc w:val="both"/>
      </w:pPr>
      <w:r>
        <w:rPr>
          <w:b w:val="0"/>
        </w:rPr>
        <w:t>For the reasons stated in the accompanying affidavit, the Petitioner most respectfully prays that this Hon'ble Court may be pleased to issue a Writ of Mandamus, or any other appropriate Writ, Order or Direction of a like nature:</w:t>
      </w:r>
    </w:p>
    <w:p>
      <w:pPr>
        <w:jc w:val="both"/>
      </w:pPr>
      <w:r>
        <w:rPr>
          <w:b w:val="0"/>
        </w:rPr>
        <w:t>(a) declaring the detention of the Blister Copper imported from the United Arab Emirates and lying warehoused in the Petitioner's Free Trade Warehousing Zone unit at Warehouse No. 12, Part-G, Survey Nos. 161 and 162, at the Free Trade Warehousing Zone of M/s NDR Infrastructure Private Limited, Nandiambakkam Port Road, Chennai, effected by the officers of Respondent No. 1 on 10.08.2026, and the drawal of samples therefrom on that date, without any written order, without any order of seizure or grounds of belief recorded and communicated under Section 110 of the Customs Act, 1962, without any mahazar, panchanama, sampling memo or receipt under Section 144 of the said Act, and without compliance with Section 22 of the Special Economic Zones Act, 2005 read with S.O. 2666(E) and S.O. 2667(E) both dated 05.08.2016, as illegal, arbitrary, without jurisdiction and violative of Articles 14, 19(1)(g) and 300A of the Constitution of India;</w:t>
      </w:r>
    </w:p>
    <w:p>
      <w:pPr>
        <w:jc w:val="both"/>
      </w:pPr>
      <w:r>
        <w:rPr>
          <w:b w:val="0"/>
        </w:rPr>
        <w:t>(b) directing Respondent No. 1 to forthwith release the said goods to the Petitioner's Free Trade Warehousing Zone unit and to permit the same to be dealt with in accordance with the Standard Operating Procedure "Clearance of Blister Copper under CTH 7402" bearing F.No. MEPZ-MSM043(C)/226/2025-SEZ Chennai (e-file No. I/131691/2026);</w:t>
      </w:r>
    </w:p>
    <w:p>
      <w:pPr>
        <w:jc w:val="both"/>
      </w:pPr>
      <w:r>
        <w:rPr>
          <w:b w:val="0"/>
        </w:rPr>
        <w:t>(c) directing Respondent No. 1 to forthwith furnish to the Petitioner the order of detention or seizure, the grounds of belief recorded in writing, the mahazar / panchanama, the inventory of the goods detained or seized, the sampling memo and test memo in respect of the samples drawn on 10.08.2026, the authorisation for the drawal of such samples, the copy of the statement recorded on 10.08.2026 from Shri A. Krishnesh Raja under Section 108 of the Customs Act, 1962, and the reasons recorded in writing and the intimation given to, or approval obtained from, Respondent No. 3 under Section 22 of the Special Economic Zones Act, 2005, or, if no such document exists, to state so in writing;</w:t>
      </w:r>
    </w:p>
    <w:p>
      <w:pPr>
        <w:jc w:val="both"/>
      </w:pPr>
      <w:r>
        <w:rPr>
          <w:b w:val="0"/>
        </w:rPr>
        <w:t>(d) declaring that the summons dated 10.08.2026 in F.No. GEN/INV/DR/170//2026-SIIB bearing DIN-20260873MY0000276822, requiring the attendance of Shri A. Krishnesh Raja at 5.00 p.m. on the very date of its issue, and the statement recorded thereunder, are contrary to Section 108 of the Customs Act, 1962 and to the principles of natural justice, and directing Respondent No. 1 to furnish a copy of the said statement to the Petitioner and to the said deponent, together with the record of issuance and service of the said summons and of the generation of the said Document Identification Number;</w:t>
      </w:r>
    </w:p>
    <w:p>
      <w:pPr>
        <w:jc w:val="both"/>
      </w:pPr>
      <w:r>
        <w:rPr>
          <w:b w:val="0"/>
        </w:rPr>
        <w:t>(e) directing Respondent No. 1 to forbear from taking any coercive step in respect of the goods lying in the Petitioner's Free Trade Warehousing Zone unit otherwise than by an order in writing passed under Section 110 of the Customs Act, 1962 upon grounds of belief recorded in writing and served upon the Petitioner, and in compliance with Section 22 of the Special Economic Zones Act, 2005;</w:t>
      </w:r>
    </w:p>
    <w:p>
      <w:pPr>
        <w:jc w:val="both"/>
      </w:pPr>
      <w:r>
        <w:rPr>
          <w:b w:val="0"/>
        </w:rPr>
        <w:t>(f) in the alternative and without prejudice to prayers (a) to (e), directing the Respondents to release the said goods provisionally under Section 110A of the Customs Act, 1962 on such terms as to bond, undertaking or security as this Hon'ble Court may deem fit, in the terms in which this Hon'ble Court granted relief in W.P. No. 29074 of 2025 (order dated 23.09.2025); and</w:t>
      </w:r>
    </w:p>
    <w:p>
      <w:pPr>
        <w:jc w:val="both"/>
      </w:pPr>
      <w:r>
        <w:rPr>
          <w:b w:val="0"/>
        </w:rPr>
        <w:t>(g) in the further alternative, directing the Respondents that the said goods shall not be held otherwise than in accordance with law, and that if they are neither released nor seized under Section 110 of the Customs Act, 1962, they be dealt with only under Section 49 of the said Act read with Circular No. 84/95-Cus. dated 25.07.1995, without any liability for detention, demurrage or warehousing charges being cast upon the Petitioner; and</w:t>
      </w:r>
    </w:p>
    <w:p>
      <w:pPr>
        <w:jc w:val="both"/>
      </w:pPr>
      <w:r>
        <w:rPr>
          <w:b w:val="0"/>
        </w:rPr>
        <w:t>(h) pass such further or other order or orders as this Hon'ble Court may deem fit and proper in the facts and circumstances of the case and thus render justice.</w:t>
      </w:r>
    </w:p>
    <w:p/>
    <w:p/>
    <w:p>
      <w:pPr>
        <w:jc w:val="both"/>
      </w:pPr>
      <w:r>
        <w:rPr>
          <w:b w:val="0"/>
        </w:rPr>
        <w:t>Dated at Chennai on this the ____ day of August, 2026.</w:t>
      </w:r>
    </w:p>
    <w:p/>
    <w:p>
      <w:pPr>
        <w:jc w:val="both"/>
      </w:pPr>
      <w:r>
        <w:rPr>
          <w:b w:val="0"/>
        </w:rPr>
        <w:t xml:space="preserve">                                                                      Counsel for the Petitioner</w:t>
      </w:r>
    </w:p>
    <w:p/>
    <w:p>
      <w:r>
        <w:br w:type="page"/>
      </w:r>
    </w:p>
    <w:p>
      <w:pPr>
        <w:jc w:val="center"/>
      </w:pPr>
      <w:r>
        <w:rPr>
          <w:b/>
        </w:rPr>
        <w:t>IN THE HIGH COURT OF JUDICATURE AT MADRAS</w:t>
      </w:r>
    </w:p>
    <w:p>
      <w:pPr>
        <w:jc w:val="center"/>
      </w:pPr>
      <w:r>
        <w:rPr>
          <w:b w:val="0"/>
        </w:rPr>
        <w:t>(SPECIAL ORIGINAL JURISDICTION)</w:t>
      </w:r>
    </w:p>
    <w:p>
      <w:pPr>
        <w:jc w:val="center"/>
      </w:pPr>
      <w:r>
        <w:rPr>
          <w:b/>
        </w:rPr>
        <w:t>W.P. No. ________ of 2026</w:t>
      </w:r>
    </w:p>
    <w:p/>
    <w:p>
      <w:pPr>
        <w:jc w:val="both"/>
      </w:pPr>
      <w:r>
        <w:rPr>
          <w:b w:val="0"/>
        </w:rPr>
        <w:t>Aaapurti Renewable Energy India Private Limited,</w:t>
      </w:r>
    </w:p>
    <w:p>
      <w:pPr>
        <w:jc w:val="both"/>
      </w:pPr>
      <w:r>
        <w:rPr>
          <w:b w:val="0"/>
        </w:rPr>
        <w:t>rep. by its Authorised Signatory                                        ... Petitioner</w:t>
      </w:r>
    </w:p>
    <w:p>
      <w:pPr>
        <w:jc w:val="center"/>
      </w:pPr>
      <w:r>
        <w:rPr>
          <w:b w:val="0"/>
        </w:rPr>
        <w:t>Versus</w:t>
      </w:r>
    </w:p>
    <w:p>
      <w:pPr>
        <w:jc w:val="both"/>
      </w:pPr>
      <w:r>
        <w:rPr>
          <w:b w:val="0"/>
        </w:rPr>
        <w:t>The Additional Commissioner of Customs, SIIB, Chennai-III (Preventive Commissionerate) and others                                  ... Respondents</w:t>
      </w:r>
    </w:p>
    <w:p/>
    <w:p>
      <w:pPr>
        <w:jc w:val="center"/>
      </w:pPr>
      <w:r>
        <w:rPr>
          <w:b/>
        </w:rPr>
        <w:t>AFFIDAVIT FILED IN SUPPORT OF THE WRIT PETITION</w:t>
      </w:r>
    </w:p>
    <w:p/>
    <w:p>
      <w:pPr>
        <w:jc w:val="both"/>
      </w:pPr>
      <w:r>
        <w:rPr>
          <w:b w:val="0"/>
        </w:rPr>
        <w:t>I, ____________________, aged about ____ years, son/daughter of ____________________, presently residing at ____________________, do hereby solemnly affirm and sincerely state as follows:</w:t>
      </w:r>
    </w:p>
    <w:p/>
    <w:p>
      <w:pPr>
        <w:ind w:left="576" w:hanging="576"/>
        <w:jc w:val="both"/>
      </w:pPr>
      <w:r>
        <w:rPr>
          <w:b w:val="0"/>
        </w:rPr>
        <w:t>1.  I am the Authorised Signatory of the Petitioner Company and am duly authorised by a Board Resolution dated __________ to swear to this affidavit and to institute the present Writ Petition. I am conversant with the facts of the case as borne out from the records of the Petitioner Company maintained in the ordinary course of business.</w:t>
      </w:r>
    </w:p>
    <w:p>
      <w:pPr>
        <w:ind w:left="576" w:hanging="576"/>
        <w:jc w:val="both"/>
      </w:pPr>
      <w:r>
        <w:rPr>
          <w:b w:val="0"/>
        </w:rPr>
        <w:t>2.  The Petitioner is a Micro, Small and Medium Enterprise engaged, inter alia, in the business of warehousing and providing value addition services in respect of imported metals. The Petitioner is a unit holder in the Free Trade and Warehousing Zone (FTWZ) operated by M/s NDR Infrastructure Private Limited at Survey Nos. 161 and 162, Nandiambakkam Port Road, Chennai, Tiruvallur District, which Zone falls within the administrative jurisdiction of the Development Commissioner, MEPZ Special Economic Zone, Chennai, and is governed by the Special Economic Zones Act, 2005 read with the Special Economic Zones Rules, 2006 and the Customs Act, 1962.</w:t>
      </w:r>
    </w:p>
    <w:p>
      <w:pPr>
        <w:ind w:left="576" w:hanging="576"/>
        <w:jc w:val="both"/>
      </w:pPr>
      <w:r>
        <w:rPr>
          <w:b w:val="0"/>
        </w:rPr>
        <w:t>3.  The primary activity carried on by the Petitioner since the year 2025 is the storage of Blister Copper falling under Chapter Heading 7402 of the Customs Tariff on behalf of its clients. For that purpose, the Petitioner, in the ordinary course of its business, files a Z-type Bill of Entry attracting Section 48 of the Customs Act, 1962 read with Rule 29(2) of the SEZ Rules, 2006. Under the said Rule, the unit files a Bill of Entry for home consumption in quintuplicate, bearing a special stamped endorsement "Special Economic Zone Cargo", along with the Bill of Lading / Airway Bill, invoice and packing list, before the Authorised Officer, who registers it, assigns a running annual serial number and assesses the Bill of Entry on the basis of transaction value, and such assessment does not require any counter-signature of the Specified Officer.</w:t>
      </w:r>
    </w:p>
    <w:p>
      <w:pPr>
        <w:ind w:left="576" w:hanging="576"/>
        <w:jc w:val="both"/>
      </w:pPr>
      <w:r>
        <w:rPr>
          <w:b w:val="0"/>
        </w:rPr>
        <w:t>4.  Under Rule 2(c) of the SEZ Rules, 2006, "Authorised Officer" means an Inspector or Preventive Officer or Appraiser or Superintendent of Customs posted in the Special Economic Zone and authorised by the Specified Officer to discharge any of his functions under the said Rules. The assessment of a Z-type Bill of Entry by the Authorised Officer is therefore a statutory act of a competent proper officer.</w:t>
      </w:r>
    </w:p>
    <w:p>
      <w:pPr>
        <w:ind w:left="576" w:hanging="576"/>
        <w:jc w:val="both"/>
      </w:pPr>
      <w:r>
        <w:rPr>
          <w:b w:val="0"/>
        </w:rPr>
        <w:t>5.  Since November 2025, the following consignments of the very same commodity have been handled through the Petitioner's FTWZ unit in the normal course, and each of them was allowed and warehoused without any objection whatsoever: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after="0"/>
              <w:jc w:val="center"/>
            </w:pPr>
            <w:r>
              <w:rPr>
                <w:sz w:val="20"/>
              </w:rPr>
            </w:r>
            <w:r>
              <w:rPr>
                <w:b/>
                <w:sz w:val="20"/>
              </w:rPr>
              <w:t>S. No.</w:t>
            </w:r>
          </w:p>
        </w:tc>
        <w:tc>
          <w:tcPr>
            <w:tcW w:type="dxa" w:w="1728"/>
          </w:tcPr>
          <w:p>
            <w:pPr>
              <w:spacing w:line="240" w:lineRule="auto" w:after="0"/>
              <w:jc w:val="center"/>
            </w:pPr>
            <w:r>
              <w:rPr>
                <w:sz w:val="20"/>
              </w:rPr>
            </w:r>
            <w:r>
              <w:rPr>
                <w:b/>
                <w:sz w:val="20"/>
              </w:rPr>
              <w:t>Bill of Entry No.</w:t>
            </w:r>
          </w:p>
        </w:tc>
        <w:tc>
          <w:tcPr>
            <w:tcW w:type="dxa" w:w="1728"/>
          </w:tcPr>
          <w:p>
            <w:pPr>
              <w:spacing w:line="240" w:lineRule="auto" w:after="0"/>
              <w:jc w:val="center"/>
            </w:pPr>
            <w:r>
              <w:rPr>
                <w:sz w:val="20"/>
              </w:rPr>
            </w:r>
            <w:r>
              <w:rPr>
                <w:b/>
                <w:sz w:val="20"/>
              </w:rPr>
              <w:t>Date</w:t>
            </w:r>
          </w:p>
        </w:tc>
        <w:tc>
          <w:tcPr>
            <w:tcW w:type="dxa" w:w="1728"/>
          </w:tcPr>
          <w:p>
            <w:pPr>
              <w:spacing w:line="240" w:lineRule="auto" w:after="0"/>
              <w:jc w:val="center"/>
            </w:pPr>
            <w:r>
              <w:rPr>
                <w:sz w:val="20"/>
              </w:rPr>
            </w:r>
            <w:r>
              <w:rPr>
                <w:b/>
                <w:sz w:val="20"/>
              </w:rPr>
              <w:t>Quantity (kg)</w:t>
            </w:r>
          </w:p>
        </w:tc>
        <w:tc>
          <w:tcPr>
            <w:tcW w:type="dxa" w:w="1728"/>
          </w:tcPr>
          <w:p>
            <w:pPr>
              <w:spacing w:line="240" w:lineRule="auto" w:after="0"/>
              <w:jc w:val="center"/>
            </w:pPr>
            <w:r>
              <w:rPr>
                <w:sz w:val="20"/>
              </w:rPr>
            </w:r>
            <w:r>
              <w:rPr>
                <w:b/>
                <w:sz w:val="20"/>
              </w:rPr>
              <w:t>Value (Rs.)</w:t>
            </w:r>
          </w:p>
        </w:tc>
      </w:tr>
      <w:tr>
        <w:tc>
          <w:tcPr>
            <w:tcW w:type="dxa" w:w="1728"/>
          </w:tcPr>
          <w:p>
            <w:pPr>
              <w:spacing w:line="240" w:lineRule="auto" w:after="0"/>
            </w:pPr>
            <w:r>
              <w:rPr>
                <w:sz w:val="20"/>
              </w:rPr>
              <w:t>1</w:t>
            </w:r>
          </w:p>
        </w:tc>
        <w:tc>
          <w:tcPr>
            <w:tcW w:type="dxa" w:w="1728"/>
          </w:tcPr>
          <w:p>
            <w:pPr>
              <w:spacing w:line="240" w:lineRule="auto" w:after="0"/>
            </w:pPr>
            <w:r>
              <w:rPr>
                <w:sz w:val="20"/>
              </w:rPr>
              <w:t>5917422</w:t>
            </w:r>
          </w:p>
        </w:tc>
        <w:tc>
          <w:tcPr>
            <w:tcW w:type="dxa" w:w="1728"/>
          </w:tcPr>
          <w:p>
            <w:pPr>
              <w:spacing w:line="240" w:lineRule="auto" w:after="0"/>
            </w:pPr>
            <w:r>
              <w:rPr>
                <w:sz w:val="20"/>
              </w:rPr>
              <w:t>25.11.2025</w:t>
            </w:r>
          </w:p>
        </w:tc>
        <w:tc>
          <w:tcPr>
            <w:tcW w:type="dxa" w:w="1728"/>
          </w:tcPr>
          <w:p>
            <w:pPr>
              <w:spacing w:line="240" w:lineRule="auto" w:after="0"/>
            </w:pPr>
            <w:r>
              <w:rPr>
                <w:sz w:val="20"/>
              </w:rPr>
              <w:t>10.154</w:t>
            </w:r>
          </w:p>
        </w:tc>
        <w:tc>
          <w:tcPr>
            <w:tcW w:type="dxa" w:w="1728"/>
          </w:tcPr>
          <w:p>
            <w:pPr>
              <w:spacing w:line="240" w:lineRule="auto" w:after="0"/>
            </w:pPr>
            <w:r>
              <w:rPr>
                <w:sz w:val="20"/>
              </w:rPr>
              <w:t>16,110.00</w:t>
            </w:r>
          </w:p>
        </w:tc>
      </w:tr>
      <w:tr>
        <w:tc>
          <w:tcPr>
            <w:tcW w:type="dxa" w:w="1728"/>
          </w:tcPr>
          <w:p>
            <w:pPr>
              <w:spacing w:line="240" w:lineRule="auto" w:after="0"/>
            </w:pPr>
            <w:r>
              <w:rPr>
                <w:sz w:val="20"/>
              </w:rPr>
              <w:t>2</w:t>
            </w:r>
          </w:p>
        </w:tc>
        <w:tc>
          <w:tcPr>
            <w:tcW w:type="dxa" w:w="1728"/>
          </w:tcPr>
          <w:p>
            <w:pPr>
              <w:spacing w:line="240" w:lineRule="auto" w:after="0"/>
            </w:pPr>
            <w:r>
              <w:rPr>
                <w:sz w:val="20"/>
              </w:rPr>
              <w:t>6496054</w:t>
            </w:r>
          </w:p>
        </w:tc>
        <w:tc>
          <w:tcPr>
            <w:tcW w:type="dxa" w:w="1728"/>
          </w:tcPr>
          <w:p>
            <w:pPr>
              <w:spacing w:line="240" w:lineRule="auto" w:after="0"/>
            </w:pPr>
            <w:r>
              <w:rPr>
                <w:sz w:val="20"/>
              </w:rPr>
              <w:t>24.12.2025</w:t>
            </w:r>
          </w:p>
        </w:tc>
        <w:tc>
          <w:tcPr>
            <w:tcW w:type="dxa" w:w="1728"/>
          </w:tcPr>
          <w:p>
            <w:pPr>
              <w:spacing w:line="240" w:lineRule="auto" w:after="0"/>
            </w:pPr>
            <w:r>
              <w:rPr>
                <w:sz w:val="20"/>
              </w:rPr>
              <w:t>69.032</w:t>
            </w:r>
          </w:p>
        </w:tc>
        <w:tc>
          <w:tcPr>
            <w:tcW w:type="dxa" w:w="1728"/>
          </w:tcPr>
          <w:p>
            <w:pPr>
              <w:spacing w:line="240" w:lineRule="auto" w:after="0"/>
            </w:pPr>
            <w:r>
              <w:rPr>
                <w:sz w:val="20"/>
              </w:rPr>
              <w:t>1,11,104.00</w:t>
            </w:r>
          </w:p>
        </w:tc>
      </w:tr>
      <w:tr>
        <w:tc>
          <w:tcPr>
            <w:tcW w:type="dxa" w:w="1728"/>
          </w:tcPr>
          <w:p>
            <w:pPr>
              <w:spacing w:line="240" w:lineRule="auto" w:after="0"/>
            </w:pPr>
            <w:r>
              <w:rPr>
                <w:sz w:val="20"/>
              </w:rPr>
              <w:t>3</w:t>
            </w:r>
          </w:p>
        </w:tc>
        <w:tc>
          <w:tcPr>
            <w:tcW w:type="dxa" w:w="1728"/>
          </w:tcPr>
          <w:p>
            <w:pPr>
              <w:spacing w:line="240" w:lineRule="auto" w:after="0"/>
            </w:pPr>
            <w:r>
              <w:rPr>
                <w:sz w:val="20"/>
              </w:rPr>
              <w:t>6558975</w:t>
            </w:r>
          </w:p>
        </w:tc>
        <w:tc>
          <w:tcPr>
            <w:tcW w:type="dxa" w:w="1728"/>
          </w:tcPr>
          <w:p>
            <w:pPr>
              <w:spacing w:line="240" w:lineRule="auto" w:after="0"/>
            </w:pPr>
            <w:r>
              <w:rPr>
                <w:sz w:val="20"/>
              </w:rPr>
              <w:t>27.12.2025</w:t>
            </w:r>
          </w:p>
        </w:tc>
        <w:tc>
          <w:tcPr>
            <w:tcW w:type="dxa" w:w="1728"/>
          </w:tcPr>
          <w:p>
            <w:pPr>
              <w:spacing w:line="240" w:lineRule="auto" w:after="0"/>
            </w:pPr>
            <w:r>
              <w:rPr>
                <w:sz w:val="20"/>
              </w:rPr>
              <w:t>101.032</w:t>
            </w:r>
          </w:p>
        </w:tc>
        <w:tc>
          <w:tcPr>
            <w:tcW w:type="dxa" w:w="1728"/>
          </w:tcPr>
          <w:p>
            <w:pPr>
              <w:spacing w:line="240" w:lineRule="auto" w:after="0"/>
            </w:pPr>
            <w:r>
              <w:rPr>
                <w:sz w:val="20"/>
              </w:rPr>
              <w:t>1,61,874.00</w:t>
            </w:r>
          </w:p>
        </w:tc>
      </w:tr>
      <w:tr>
        <w:tc>
          <w:tcPr>
            <w:tcW w:type="dxa" w:w="1728"/>
          </w:tcPr>
          <w:p>
            <w:pPr>
              <w:spacing w:line="240" w:lineRule="auto" w:after="0"/>
            </w:pPr>
            <w:r>
              <w:rPr>
                <w:sz w:val="20"/>
              </w:rPr>
              <w:t>4</w:t>
            </w:r>
          </w:p>
        </w:tc>
        <w:tc>
          <w:tcPr>
            <w:tcW w:type="dxa" w:w="1728"/>
          </w:tcPr>
          <w:p>
            <w:pPr>
              <w:spacing w:line="240" w:lineRule="auto" w:after="0"/>
            </w:pPr>
            <w:r>
              <w:rPr>
                <w:sz w:val="20"/>
              </w:rPr>
              <w:t>6836417</w:t>
            </w:r>
          </w:p>
        </w:tc>
        <w:tc>
          <w:tcPr>
            <w:tcW w:type="dxa" w:w="1728"/>
          </w:tcPr>
          <w:p>
            <w:pPr>
              <w:spacing w:line="240" w:lineRule="auto" w:after="0"/>
            </w:pPr>
            <w:r>
              <w:rPr>
                <w:sz w:val="20"/>
              </w:rPr>
              <w:t>12.01.2026</w:t>
            </w:r>
          </w:p>
        </w:tc>
        <w:tc>
          <w:tcPr>
            <w:tcW w:type="dxa" w:w="1728"/>
          </w:tcPr>
          <w:p>
            <w:pPr>
              <w:spacing w:line="240" w:lineRule="auto" w:after="0"/>
            </w:pPr>
            <w:r>
              <w:rPr>
                <w:sz w:val="20"/>
              </w:rPr>
              <w:t>101.115</w:t>
            </w:r>
          </w:p>
        </w:tc>
        <w:tc>
          <w:tcPr>
            <w:tcW w:type="dxa" w:w="1728"/>
          </w:tcPr>
          <w:p>
            <w:pPr>
              <w:spacing w:line="240" w:lineRule="auto" w:after="0"/>
            </w:pPr>
            <w:r>
              <w:rPr>
                <w:sz w:val="20"/>
              </w:rPr>
              <w:t>1,64,348.00</w:t>
            </w:r>
          </w:p>
        </w:tc>
      </w:tr>
      <w:tr>
        <w:tc>
          <w:tcPr>
            <w:tcW w:type="dxa" w:w="1728"/>
          </w:tcPr>
          <w:p>
            <w:pPr>
              <w:spacing w:line="240" w:lineRule="auto" w:after="0"/>
            </w:pPr>
            <w:r>
              <w:rPr>
                <w:sz w:val="20"/>
              </w:rPr>
              <w:t>5</w:t>
            </w:r>
          </w:p>
        </w:tc>
        <w:tc>
          <w:tcPr>
            <w:tcW w:type="dxa" w:w="1728"/>
          </w:tcPr>
          <w:p>
            <w:pPr>
              <w:spacing w:line="240" w:lineRule="auto" w:after="0"/>
            </w:pPr>
            <w:r>
              <w:rPr>
                <w:sz w:val="20"/>
              </w:rPr>
              <w:t>6836416</w:t>
            </w:r>
          </w:p>
        </w:tc>
        <w:tc>
          <w:tcPr>
            <w:tcW w:type="dxa" w:w="1728"/>
          </w:tcPr>
          <w:p>
            <w:pPr>
              <w:spacing w:line="240" w:lineRule="auto" w:after="0"/>
            </w:pPr>
            <w:r>
              <w:rPr>
                <w:sz w:val="20"/>
              </w:rPr>
              <w:t>12.01.2026</w:t>
            </w:r>
          </w:p>
        </w:tc>
        <w:tc>
          <w:tcPr>
            <w:tcW w:type="dxa" w:w="1728"/>
          </w:tcPr>
          <w:p>
            <w:pPr>
              <w:spacing w:line="240" w:lineRule="auto" w:after="0"/>
            </w:pPr>
            <w:r>
              <w:rPr>
                <w:sz w:val="20"/>
              </w:rPr>
              <w:t>10.180</w:t>
            </w:r>
          </w:p>
        </w:tc>
        <w:tc>
          <w:tcPr>
            <w:tcW w:type="dxa" w:w="1728"/>
          </w:tcPr>
          <w:p>
            <w:pPr>
              <w:spacing w:line="240" w:lineRule="auto" w:after="0"/>
            </w:pPr>
            <w:r>
              <w:rPr>
                <w:sz w:val="20"/>
              </w:rPr>
              <w:t>16,525.60</w:t>
            </w:r>
          </w:p>
        </w:tc>
      </w:tr>
      <w:tr>
        <w:tc>
          <w:tcPr>
            <w:tcW w:type="dxa" w:w="1728"/>
          </w:tcPr>
          <w:p>
            <w:pPr>
              <w:spacing w:line="240" w:lineRule="auto" w:after="0"/>
            </w:pPr>
            <w:r>
              <w:rPr>
                <w:sz w:val="20"/>
              </w:rPr>
              <w:t>6</w:t>
            </w:r>
          </w:p>
        </w:tc>
        <w:tc>
          <w:tcPr>
            <w:tcW w:type="dxa" w:w="1728"/>
          </w:tcPr>
          <w:p>
            <w:pPr>
              <w:spacing w:line="240" w:lineRule="auto" w:after="0"/>
            </w:pPr>
            <w:r>
              <w:rPr>
                <w:sz w:val="20"/>
              </w:rPr>
              <w:t>6879260</w:t>
            </w:r>
          </w:p>
        </w:tc>
        <w:tc>
          <w:tcPr>
            <w:tcW w:type="dxa" w:w="1728"/>
          </w:tcPr>
          <w:p>
            <w:pPr>
              <w:spacing w:line="240" w:lineRule="auto" w:after="0"/>
            </w:pPr>
            <w:r>
              <w:rPr>
                <w:sz w:val="20"/>
              </w:rPr>
              <w:t>14.01.2026</w:t>
            </w:r>
          </w:p>
        </w:tc>
        <w:tc>
          <w:tcPr>
            <w:tcW w:type="dxa" w:w="1728"/>
          </w:tcPr>
          <w:p>
            <w:pPr>
              <w:spacing w:line="240" w:lineRule="auto" w:after="0"/>
            </w:pPr>
            <w:r>
              <w:rPr>
                <w:sz w:val="20"/>
              </w:rPr>
              <w:t>1.988</w:t>
            </w:r>
          </w:p>
        </w:tc>
        <w:tc>
          <w:tcPr>
            <w:tcW w:type="dxa" w:w="1728"/>
          </w:tcPr>
          <w:p>
            <w:pPr>
              <w:spacing w:line="240" w:lineRule="auto" w:after="0"/>
            </w:pPr>
            <w:r>
              <w:rPr>
                <w:sz w:val="20"/>
              </w:rPr>
              <w:t>4,03,179.24</w:t>
            </w:r>
          </w:p>
        </w:tc>
      </w:tr>
      <w:tr>
        <w:tc>
          <w:tcPr>
            <w:tcW w:type="dxa" w:w="1728"/>
          </w:tcPr>
          <w:p>
            <w:pPr>
              <w:spacing w:line="240" w:lineRule="auto" w:after="0"/>
            </w:pPr>
            <w:r>
              <w:rPr>
                <w:sz w:val="20"/>
              </w:rPr>
              <w:t>7</w:t>
            </w:r>
          </w:p>
        </w:tc>
        <w:tc>
          <w:tcPr>
            <w:tcW w:type="dxa" w:w="1728"/>
          </w:tcPr>
          <w:p>
            <w:pPr>
              <w:spacing w:line="240" w:lineRule="auto" w:after="0"/>
            </w:pPr>
            <w:r>
              <w:rPr>
                <w:sz w:val="20"/>
              </w:rPr>
              <w:t>7115035</w:t>
            </w:r>
          </w:p>
        </w:tc>
        <w:tc>
          <w:tcPr>
            <w:tcW w:type="dxa" w:w="1728"/>
          </w:tcPr>
          <w:p>
            <w:pPr>
              <w:spacing w:line="240" w:lineRule="auto" w:after="0"/>
            </w:pPr>
            <w:r>
              <w:rPr>
                <w:sz w:val="20"/>
              </w:rPr>
              <w:t>25.01.2026</w:t>
            </w:r>
          </w:p>
        </w:tc>
        <w:tc>
          <w:tcPr>
            <w:tcW w:type="dxa" w:w="1728"/>
          </w:tcPr>
          <w:p>
            <w:pPr>
              <w:spacing w:line="240" w:lineRule="auto" w:after="0"/>
            </w:pPr>
            <w:r>
              <w:rPr>
                <w:sz w:val="20"/>
              </w:rPr>
              <w:t>105.372</w:t>
            </w:r>
          </w:p>
        </w:tc>
        <w:tc>
          <w:tcPr>
            <w:tcW w:type="dxa" w:w="1728"/>
          </w:tcPr>
          <w:p>
            <w:pPr>
              <w:spacing w:line="240" w:lineRule="auto" w:after="0"/>
            </w:pPr>
            <w:r>
              <w:rPr>
                <w:sz w:val="20"/>
              </w:rPr>
              <w:t>22,51,837.44</w:t>
            </w:r>
          </w:p>
        </w:tc>
      </w:tr>
      <w:tr>
        <w:tc>
          <w:tcPr>
            <w:tcW w:type="dxa" w:w="1728"/>
          </w:tcPr>
          <w:p>
            <w:pPr>
              <w:spacing w:line="240" w:lineRule="auto" w:after="0"/>
            </w:pPr>
            <w:r>
              <w:rPr>
                <w:sz w:val="20"/>
              </w:rPr>
              <w:t>8</w:t>
            </w:r>
          </w:p>
        </w:tc>
        <w:tc>
          <w:tcPr>
            <w:tcW w:type="dxa" w:w="1728"/>
          </w:tcPr>
          <w:p>
            <w:pPr>
              <w:spacing w:line="240" w:lineRule="auto" w:after="0"/>
            </w:pPr>
            <w:r>
              <w:rPr>
                <w:sz w:val="20"/>
              </w:rPr>
              <w:t>7173539</w:t>
            </w:r>
          </w:p>
        </w:tc>
        <w:tc>
          <w:tcPr>
            <w:tcW w:type="dxa" w:w="1728"/>
          </w:tcPr>
          <w:p>
            <w:pPr>
              <w:spacing w:line="240" w:lineRule="auto" w:after="0"/>
            </w:pPr>
            <w:r>
              <w:rPr>
                <w:sz w:val="20"/>
              </w:rPr>
              <w:t>29.01.2026</w:t>
            </w:r>
          </w:p>
        </w:tc>
        <w:tc>
          <w:tcPr>
            <w:tcW w:type="dxa" w:w="1728"/>
          </w:tcPr>
          <w:p>
            <w:pPr>
              <w:spacing w:line="240" w:lineRule="auto" w:after="0"/>
            </w:pPr>
            <w:r>
              <w:rPr>
                <w:sz w:val="20"/>
              </w:rPr>
              <w:t>312.870</w:t>
            </w:r>
          </w:p>
        </w:tc>
        <w:tc>
          <w:tcPr>
            <w:tcW w:type="dxa" w:w="1728"/>
          </w:tcPr>
          <w:p>
            <w:pPr>
              <w:spacing w:line="240" w:lineRule="auto" w:after="0"/>
            </w:pPr>
            <w:r>
              <w:rPr>
                <w:sz w:val="20"/>
              </w:rPr>
              <w:t>2,12,40,558.43</w:t>
            </w:r>
          </w:p>
        </w:tc>
      </w:tr>
      <w:tr>
        <w:tc>
          <w:tcPr>
            <w:tcW w:type="dxa" w:w="1728"/>
          </w:tcPr>
          <w:p>
            <w:pPr>
              <w:spacing w:line="240" w:lineRule="auto" w:after="0"/>
            </w:pPr>
            <w:r>
              <w:rPr>
                <w:sz w:val="20"/>
              </w:rPr>
              <w:t>9</w:t>
            </w:r>
          </w:p>
        </w:tc>
        <w:tc>
          <w:tcPr>
            <w:tcW w:type="dxa" w:w="1728"/>
          </w:tcPr>
          <w:p>
            <w:pPr>
              <w:spacing w:line="240" w:lineRule="auto" w:after="0"/>
            </w:pPr>
            <w:r>
              <w:rPr>
                <w:sz w:val="20"/>
              </w:rPr>
              <w:t>8371333</w:t>
            </w:r>
          </w:p>
        </w:tc>
        <w:tc>
          <w:tcPr>
            <w:tcW w:type="dxa" w:w="1728"/>
          </w:tcPr>
          <w:p>
            <w:pPr>
              <w:spacing w:line="240" w:lineRule="auto" w:after="0"/>
            </w:pPr>
            <w:r>
              <w:rPr>
                <w:sz w:val="20"/>
              </w:rPr>
              <w:t>30.03.2026</w:t>
            </w:r>
          </w:p>
        </w:tc>
        <w:tc>
          <w:tcPr>
            <w:tcW w:type="dxa" w:w="1728"/>
          </w:tcPr>
          <w:p>
            <w:pPr>
              <w:spacing w:line="240" w:lineRule="auto" w:after="0"/>
            </w:pPr>
            <w:r>
              <w:rPr>
                <w:sz w:val="20"/>
              </w:rPr>
              <w:t>101.483</w:t>
            </w:r>
          </w:p>
        </w:tc>
        <w:tc>
          <w:tcPr>
            <w:tcW w:type="dxa" w:w="1728"/>
          </w:tcPr>
          <w:p>
            <w:pPr>
              <w:spacing w:line="240" w:lineRule="auto" w:after="0"/>
            </w:pPr>
            <w:r>
              <w:rPr>
                <w:sz w:val="20"/>
              </w:rPr>
              <w:t>2,08,74,925.44</w:t>
            </w:r>
          </w:p>
        </w:tc>
      </w:tr>
      <w:tr>
        <w:tc>
          <w:tcPr>
            <w:tcW w:type="dxa" w:w="1728"/>
          </w:tcPr>
          <w:p>
            <w:pPr>
              <w:spacing w:line="240" w:lineRule="auto" w:after="0"/>
            </w:pPr>
            <w:r>
              <w:rPr>
                <w:sz w:val="20"/>
              </w:rPr>
              <w:t>10</w:t>
            </w:r>
          </w:p>
        </w:tc>
        <w:tc>
          <w:tcPr>
            <w:tcW w:type="dxa" w:w="1728"/>
          </w:tcPr>
          <w:p>
            <w:pPr>
              <w:spacing w:line="240" w:lineRule="auto" w:after="0"/>
            </w:pPr>
            <w:r>
              <w:rPr>
                <w:sz w:val="20"/>
              </w:rPr>
              <w:t>9008650</w:t>
            </w:r>
          </w:p>
        </w:tc>
        <w:tc>
          <w:tcPr>
            <w:tcW w:type="dxa" w:w="1728"/>
          </w:tcPr>
          <w:p>
            <w:pPr>
              <w:spacing w:line="240" w:lineRule="auto" w:after="0"/>
            </w:pPr>
            <w:r>
              <w:rPr>
                <w:sz w:val="20"/>
              </w:rPr>
              <w:t>01.05.2026</w:t>
            </w:r>
          </w:p>
        </w:tc>
        <w:tc>
          <w:tcPr>
            <w:tcW w:type="dxa" w:w="1728"/>
          </w:tcPr>
          <w:p>
            <w:pPr>
              <w:spacing w:line="240" w:lineRule="auto" w:after="0"/>
            </w:pPr>
            <w:r>
              <w:rPr>
                <w:sz w:val="20"/>
              </w:rPr>
              <w:t>132.137</w:t>
            </w:r>
          </w:p>
        </w:tc>
        <w:tc>
          <w:tcPr>
            <w:tcW w:type="dxa" w:w="1728"/>
          </w:tcPr>
          <w:p>
            <w:pPr>
              <w:spacing w:line="240" w:lineRule="auto" w:after="0"/>
            </w:pPr>
            <w:r>
              <w:rPr>
                <w:sz w:val="20"/>
              </w:rPr>
              <w:t>2,71,51,058.76</w:t>
            </w:r>
          </w:p>
        </w:tc>
      </w:tr>
      <w:tr>
        <w:tc>
          <w:tcPr>
            <w:tcW w:type="dxa" w:w="1728"/>
          </w:tcPr>
          <w:p>
            <w:pPr>
              <w:spacing w:line="240" w:lineRule="auto" w:after="0"/>
            </w:pPr>
            <w:r>
              <w:rPr>
                <w:sz w:val="20"/>
              </w:rPr>
              <w:t>11</w:t>
            </w:r>
          </w:p>
        </w:tc>
        <w:tc>
          <w:tcPr>
            <w:tcW w:type="dxa" w:w="1728"/>
          </w:tcPr>
          <w:p>
            <w:pPr>
              <w:spacing w:line="240" w:lineRule="auto" w:after="0"/>
            </w:pPr>
            <w:r>
              <w:rPr>
                <w:sz w:val="20"/>
              </w:rPr>
              <w:t>9926786</w:t>
            </w:r>
          </w:p>
        </w:tc>
        <w:tc>
          <w:tcPr>
            <w:tcW w:type="dxa" w:w="1728"/>
          </w:tcPr>
          <w:p>
            <w:pPr>
              <w:spacing w:line="240" w:lineRule="auto" w:after="0"/>
            </w:pPr>
            <w:r>
              <w:rPr>
                <w:sz w:val="20"/>
              </w:rPr>
              <w:t>17.06.2026</w:t>
            </w:r>
          </w:p>
        </w:tc>
        <w:tc>
          <w:tcPr>
            <w:tcW w:type="dxa" w:w="1728"/>
          </w:tcPr>
          <w:p>
            <w:pPr>
              <w:spacing w:line="240" w:lineRule="auto" w:after="0"/>
            </w:pPr>
            <w:r>
              <w:rPr>
                <w:sz w:val="20"/>
              </w:rPr>
              <w:t>305.518</w:t>
            </w:r>
          </w:p>
        </w:tc>
        <w:tc>
          <w:tcPr>
            <w:tcW w:type="dxa" w:w="1728"/>
          </w:tcPr>
          <w:p>
            <w:pPr>
              <w:spacing w:line="240" w:lineRule="auto" w:after="0"/>
            </w:pPr>
            <w:r>
              <w:rPr>
                <w:sz w:val="20"/>
              </w:rPr>
              <w:t>6,06,61,838.24</w:t>
            </w:r>
          </w:p>
        </w:tc>
      </w:tr>
      <w:tr>
        <w:tc>
          <w:tcPr>
            <w:tcW w:type="dxa" w:w="1728"/>
          </w:tcPr>
          <w:p>
            <w:pPr>
              <w:spacing w:line="240" w:lineRule="auto" w:after="0"/>
            </w:pPr>
            <w:r>
              <w:rPr>
                <w:sz w:val="20"/>
              </w:rPr>
              <w:t>12</w:t>
            </w:r>
          </w:p>
        </w:tc>
        <w:tc>
          <w:tcPr>
            <w:tcW w:type="dxa" w:w="1728"/>
          </w:tcPr>
          <w:p>
            <w:pPr>
              <w:spacing w:line="240" w:lineRule="auto" w:after="0"/>
            </w:pPr>
            <w:r>
              <w:rPr>
                <w:sz w:val="20"/>
              </w:rPr>
              <w:t>2202151</w:t>
            </w:r>
          </w:p>
        </w:tc>
        <w:tc>
          <w:tcPr>
            <w:tcW w:type="dxa" w:w="1728"/>
          </w:tcPr>
          <w:p>
            <w:pPr>
              <w:spacing w:line="240" w:lineRule="auto" w:after="0"/>
            </w:pPr>
            <w:r>
              <w:rPr>
                <w:sz w:val="20"/>
              </w:rPr>
              <w:t>30.06.2026</w:t>
            </w:r>
          </w:p>
        </w:tc>
        <w:tc>
          <w:tcPr>
            <w:tcW w:type="dxa" w:w="1728"/>
          </w:tcPr>
          <w:p>
            <w:pPr>
              <w:spacing w:line="240" w:lineRule="auto" w:after="0"/>
            </w:pPr>
            <w:r>
              <w:rPr>
                <w:sz w:val="20"/>
              </w:rPr>
              <w:t>465.992</w:t>
            </w:r>
          </w:p>
        </w:tc>
        <w:tc>
          <w:tcPr>
            <w:tcW w:type="dxa" w:w="1728"/>
          </w:tcPr>
          <w:p>
            <w:pPr>
              <w:spacing w:line="240" w:lineRule="auto" w:after="0"/>
            </w:pPr>
            <w:r>
              <w:rPr>
                <w:sz w:val="20"/>
              </w:rPr>
              <w:t>8,92,15,669.66</w:t>
            </w:r>
          </w:p>
        </w:tc>
      </w:tr>
      <w:tr>
        <w:tc>
          <w:tcPr>
            <w:tcW w:type="dxa" w:w="1728"/>
          </w:tcPr>
          <w:p>
            <w:pPr>
              <w:spacing w:line="240" w:lineRule="auto" w:after="0"/>
            </w:pPr>
            <w:r>
              <w:rPr>
                <w:sz w:val="20"/>
              </w:rPr>
              <w:t>13</w:t>
            </w:r>
          </w:p>
        </w:tc>
        <w:tc>
          <w:tcPr>
            <w:tcW w:type="dxa" w:w="1728"/>
          </w:tcPr>
          <w:p>
            <w:pPr>
              <w:spacing w:line="240" w:lineRule="auto" w:after="0"/>
            </w:pPr>
            <w:r>
              <w:rPr>
                <w:sz w:val="20"/>
              </w:rPr>
              <w:t>2321952</w:t>
            </w:r>
          </w:p>
        </w:tc>
        <w:tc>
          <w:tcPr>
            <w:tcW w:type="dxa" w:w="1728"/>
          </w:tcPr>
          <w:p>
            <w:pPr>
              <w:spacing w:line="240" w:lineRule="auto" w:after="0"/>
            </w:pPr>
            <w:r>
              <w:rPr>
                <w:sz w:val="20"/>
              </w:rPr>
              <w:t>05.07.2026</w:t>
            </w:r>
          </w:p>
        </w:tc>
        <w:tc>
          <w:tcPr>
            <w:tcW w:type="dxa" w:w="1728"/>
          </w:tcPr>
          <w:p>
            <w:pPr>
              <w:spacing w:line="240" w:lineRule="auto" w:after="0"/>
            </w:pPr>
            <w:r>
              <w:rPr>
                <w:sz w:val="20"/>
              </w:rPr>
              <w:t>342.181</w:t>
            </w:r>
          </w:p>
        </w:tc>
        <w:tc>
          <w:tcPr>
            <w:tcW w:type="dxa" w:w="1728"/>
          </w:tcPr>
          <w:p>
            <w:pPr>
              <w:spacing w:line="240" w:lineRule="auto" w:after="0"/>
            </w:pPr>
            <w:r>
              <w:rPr>
                <w:sz w:val="20"/>
              </w:rPr>
              <w:t>6,50,06,626.94</w:t>
            </w:r>
          </w:p>
        </w:tc>
      </w:tr>
      <w:tr>
        <w:tc>
          <w:tcPr>
            <w:tcW w:type="dxa" w:w="1728"/>
          </w:tcPr>
          <w:p>
            <w:pPr>
              <w:spacing w:line="240" w:lineRule="auto" w:after="0"/>
            </w:pPr>
            <w:r>
              <w:rPr>
                <w:sz w:val="20"/>
              </w:rPr>
              <w:t>14</w:t>
            </w:r>
          </w:p>
        </w:tc>
        <w:tc>
          <w:tcPr>
            <w:tcW w:type="dxa" w:w="1728"/>
          </w:tcPr>
          <w:p>
            <w:pPr>
              <w:spacing w:line="240" w:lineRule="auto" w:after="0"/>
            </w:pPr>
            <w:r>
              <w:rPr>
                <w:sz w:val="20"/>
              </w:rPr>
              <w:t>2461736</w:t>
            </w:r>
          </w:p>
        </w:tc>
        <w:tc>
          <w:tcPr>
            <w:tcW w:type="dxa" w:w="1728"/>
          </w:tcPr>
          <w:p>
            <w:pPr>
              <w:spacing w:line="240" w:lineRule="auto" w:after="0"/>
            </w:pPr>
            <w:r>
              <w:rPr>
                <w:sz w:val="20"/>
              </w:rPr>
              <w:t>12.07.2026</w:t>
            </w:r>
          </w:p>
        </w:tc>
        <w:tc>
          <w:tcPr>
            <w:tcW w:type="dxa" w:w="1728"/>
          </w:tcPr>
          <w:p>
            <w:pPr>
              <w:spacing w:line="240" w:lineRule="auto" w:after="0"/>
            </w:pPr>
            <w:r>
              <w:rPr>
                <w:sz w:val="20"/>
              </w:rPr>
              <w:t>330.834</w:t>
            </w:r>
          </w:p>
        </w:tc>
        <w:tc>
          <w:tcPr>
            <w:tcW w:type="dxa" w:w="1728"/>
          </w:tcPr>
          <w:p>
            <w:pPr>
              <w:spacing w:line="240" w:lineRule="auto" w:after="0"/>
            </w:pPr>
            <w:r>
              <w:rPr>
                <w:sz w:val="20"/>
              </w:rPr>
              <w:t>6,64,83,317.94</w:t>
            </w:r>
          </w:p>
        </w:tc>
      </w:tr>
      <w:tr>
        <w:tc>
          <w:tcPr>
            <w:tcW w:type="dxa" w:w="1728"/>
          </w:tcPr>
          <w:p>
            <w:pPr>
              <w:spacing w:line="240" w:lineRule="auto" w:after="0"/>
            </w:pPr>
            <w:r>
              <w:rPr>
                <w:sz w:val="20"/>
              </w:rPr>
              <w:t>15</w:t>
            </w:r>
          </w:p>
        </w:tc>
        <w:tc>
          <w:tcPr>
            <w:tcW w:type="dxa" w:w="1728"/>
          </w:tcPr>
          <w:p>
            <w:pPr>
              <w:spacing w:line="240" w:lineRule="auto" w:after="0"/>
            </w:pPr>
            <w:r>
              <w:rPr>
                <w:sz w:val="20"/>
              </w:rPr>
              <w:t>2609344</w:t>
            </w:r>
          </w:p>
        </w:tc>
        <w:tc>
          <w:tcPr>
            <w:tcW w:type="dxa" w:w="1728"/>
          </w:tcPr>
          <w:p>
            <w:pPr>
              <w:spacing w:line="240" w:lineRule="auto" w:after="0"/>
            </w:pPr>
            <w:r>
              <w:rPr>
                <w:sz w:val="20"/>
              </w:rPr>
              <w:t>19.07.2026</w:t>
            </w:r>
          </w:p>
        </w:tc>
        <w:tc>
          <w:tcPr>
            <w:tcW w:type="dxa" w:w="1728"/>
          </w:tcPr>
          <w:p>
            <w:pPr>
              <w:spacing w:line="240" w:lineRule="auto" w:after="0"/>
            </w:pPr>
            <w:r>
              <w:rPr>
                <w:sz w:val="20"/>
              </w:rPr>
              <w:t>472.130</w:t>
            </w:r>
          </w:p>
        </w:tc>
        <w:tc>
          <w:tcPr>
            <w:tcW w:type="dxa" w:w="1728"/>
          </w:tcPr>
          <w:p>
            <w:pPr>
              <w:spacing w:line="240" w:lineRule="auto" w:after="0"/>
            </w:pPr>
            <w:r>
              <w:rPr>
                <w:sz w:val="20"/>
              </w:rPr>
              <w:t>9,60,84,218.84</w:t>
            </w:r>
          </w:p>
        </w:tc>
      </w:tr>
      <w:tr>
        <w:tc>
          <w:tcPr>
            <w:tcW w:type="dxa" w:w="1728"/>
          </w:tcPr>
          <w:p>
            <w:pPr>
              <w:spacing w:line="240" w:lineRule="auto" w:after="0"/>
            </w:pPr>
            <w:r>
              <w:rPr>
                <w:sz w:val="20"/>
              </w:rPr>
              <w:t>16</w:t>
            </w:r>
          </w:p>
        </w:tc>
        <w:tc>
          <w:tcPr>
            <w:tcW w:type="dxa" w:w="1728"/>
          </w:tcPr>
          <w:p>
            <w:pPr>
              <w:spacing w:line="240" w:lineRule="auto" w:after="0"/>
            </w:pPr>
            <w:r>
              <w:rPr>
                <w:sz w:val="20"/>
              </w:rPr>
              <w:t>2752795</w:t>
            </w:r>
          </w:p>
        </w:tc>
        <w:tc>
          <w:tcPr>
            <w:tcW w:type="dxa" w:w="1728"/>
          </w:tcPr>
          <w:p>
            <w:pPr>
              <w:spacing w:line="240" w:lineRule="auto" w:after="0"/>
            </w:pPr>
            <w:r>
              <w:rPr>
                <w:sz w:val="20"/>
              </w:rPr>
              <w:t>26.07.2026</w:t>
            </w:r>
          </w:p>
        </w:tc>
        <w:tc>
          <w:tcPr>
            <w:tcW w:type="dxa" w:w="1728"/>
          </w:tcPr>
          <w:p>
            <w:pPr>
              <w:spacing w:line="240" w:lineRule="auto" w:after="0"/>
            </w:pPr>
            <w:r>
              <w:rPr>
                <w:sz w:val="20"/>
              </w:rPr>
              <w:t>420.813</w:t>
            </w:r>
          </w:p>
        </w:tc>
        <w:tc>
          <w:tcPr>
            <w:tcW w:type="dxa" w:w="1728"/>
          </w:tcPr>
          <w:p>
            <w:pPr>
              <w:spacing w:line="240" w:lineRule="auto" w:after="0"/>
            </w:pPr>
            <w:r>
              <w:rPr>
                <w:sz w:val="20"/>
              </w:rPr>
              <w:t>8,54,83,964.95</w:t>
            </w:r>
          </w:p>
        </w:tc>
      </w:tr>
      <w:tr>
        <w:tc>
          <w:tcPr>
            <w:tcW w:type="dxa" w:w="1728"/>
          </w:tcPr>
          <w:p>
            <w:pPr>
              <w:spacing w:line="240" w:lineRule="auto" w:after="0"/>
            </w:pPr>
            <w:r>
              <w:rPr>
                <w:sz w:val="20"/>
              </w:rPr>
              <w:t>17</w:t>
            </w:r>
          </w:p>
        </w:tc>
        <w:tc>
          <w:tcPr>
            <w:tcW w:type="dxa" w:w="1728"/>
          </w:tcPr>
          <w:p>
            <w:pPr>
              <w:spacing w:line="240" w:lineRule="auto" w:after="0"/>
            </w:pPr>
            <w:r>
              <w:rPr>
                <w:sz w:val="20"/>
              </w:rPr>
              <w:t>2752867</w:t>
            </w:r>
          </w:p>
        </w:tc>
        <w:tc>
          <w:tcPr>
            <w:tcW w:type="dxa" w:w="1728"/>
          </w:tcPr>
          <w:p>
            <w:pPr>
              <w:spacing w:line="240" w:lineRule="auto" w:after="0"/>
            </w:pPr>
            <w:r>
              <w:rPr>
                <w:sz w:val="20"/>
              </w:rPr>
              <w:t>26.07.2026</w:t>
            </w:r>
          </w:p>
        </w:tc>
        <w:tc>
          <w:tcPr>
            <w:tcW w:type="dxa" w:w="1728"/>
          </w:tcPr>
          <w:p>
            <w:pPr>
              <w:spacing w:line="240" w:lineRule="auto" w:after="0"/>
            </w:pPr>
            <w:r>
              <w:rPr>
                <w:sz w:val="20"/>
              </w:rPr>
              <w:t>404.658</w:t>
            </w:r>
          </w:p>
        </w:tc>
        <w:tc>
          <w:tcPr>
            <w:tcW w:type="dxa" w:w="1728"/>
          </w:tcPr>
          <w:p>
            <w:pPr>
              <w:spacing w:line="240" w:lineRule="auto" w:after="0"/>
            </w:pPr>
            <w:r>
              <w:rPr>
                <w:sz w:val="20"/>
              </w:rPr>
              <w:t>8,15,22,804.46</w:t>
            </w:r>
          </w:p>
        </w:tc>
      </w:tr>
      <w:tr>
        <w:tc>
          <w:tcPr>
            <w:tcW w:type="dxa" w:w="1728"/>
          </w:tcPr>
          <w:p>
            <w:pPr>
              <w:spacing w:line="240" w:lineRule="auto" w:after="0"/>
            </w:pPr>
            <w:r>
              <w:rPr>
                <w:sz w:val="20"/>
              </w:rPr>
              <w:t>18</w:t>
            </w:r>
          </w:p>
        </w:tc>
        <w:tc>
          <w:tcPr>
            <w:tcW w:type="dxa" w:w="1728"/>
          </w:tcPr>
          <w:p>
            <w:pPr>
              <w:spacing w:line="240" w:lineRule="auto" w:after="0"/>
            </w:pPr>
            <w:r>
              <w:rPr>
                <w:sz w:val="20"/>
              </w:rPr>
              <w:t>2875203</w:t>
            </w:r>
          </w:p>
        </w:tc>
        <w:tc>
          <w:tcPr>
            <w:tcW w:type="dxa" w:w="1728"/>
          </w:tcPr>
          <w:p>
            <w:pPr>
              <w:spacing w:line="240" w:lineRule="auto" w:after="0"/>
            </w:pPr>
            <w:r>
              <w:rPr>
                <w:sz w:val="20"/>
              </w:rPr>
              <w:t>01.08.2026</w:t>
            </w:r>
          </w:p>
        </w:tc>
        <w:tc>
          <w:tcPr>
            <w:tcW w:type="dxa" w:w="1728"/>
          </w:tcPr>
          <w:p>
            <w:pPr>
              <w:spacing w:line="240" w:lineRule="auto" w:after="0"/>
            </w:pPr>
            <w:r>
              <w:rPr>
                <w:sz w:val="20"/>
              </w:rPr>
              <w:t>395.276</w:t>
            </w:r>
          </w:p>
        </w:tc>
        <w:tc>
          <w:tcPr>
            <w:tcW w:type="dxa" w:w="1728"/>
          </w:tcPr>
          <w:p>
            <w:pPr>
              <w:spacing w:line="240" w:lineRule="auto" w:after="0"/>
            </w:pPr>
            <w:r>
              <w:rPr>
                <w:sz w:val="20"/>
              </w:rPr>
              <w:t>7,78,55,964.59</w:t>
            </w:r>
          </w:p>
        </w:tc>
      </w:tr>
    </w:tbl>
    <w:p/>
    <w:p>
      <w:pPr>
        <w:ind w:left="576" w:hanging="576"/>
        <w:jc w:val="both"/>
      </w:pPr>
      <w:r>
        <w:rPr>
          <w:b w:val="0"/>
        </w:rPr>
        <w:t>6.  On 01.08.2026, the Petitioner filed Z-type Bill of Entry No. 2875354 dated 01.08.2026 on behalf of its client M/s Gemtec Jewellery FZE, UAE, the said Bill of Entry being one filed under Rule 29 of the SEZ Rules, 2006 read with the Bill of Entry (Electronic Integrated Declaration and Paperless Processing) Regulations, 2018 notified vide Notification No. 36/2018-Customs (N.T.) dated 11.05.2018 (G.S.R. 447(E)), on the Indian Customs Electronic Gateway (ICEGATE), the filing of Bills of Entry by units in non-IT/ITES Special Economic Zones and Free Trade Warehousing Zones having been migrated to ICEGATE with effect from 01.07.2024 by the Ministry of Commerce and Industry, Department of Commerce (SEZ Division), letter No. J.16/3/2007-SEZ Vol-V dated 22.06.2024 and the clarification of even number dated 29.06.2024, under which the 'Z' type Bill of Entry is the document prescribed for import of goods into such a Zone, in respect of a consignment of Blister Copper weighing 414.556 kgs of a declared value of Rs. 8,32,51,039.90, for stock transfer of the said goods from the Air Cargo Complex, Chennai to the Petitioner's FTWZ unit under the Customs warehousing procedure and the SEZ Act, 2005. The proper officer, in terms of Section 48 of the Customs Act, 1962 read with Rule 29(2) of the SEZ Rules, 2006, has already assessed the said Bill of Entry, and a copy of the assessed Bill of Entry was made available to the Petitioner on 01.08.2026. The goods are not cleared for home consumption and no duty arises at this stage.</w:t>
      </w:r>
    </w:p>
    <w:p>
      <w:pPr>
        <w:ind w:left="576" w:hanging="576"/>
        <w:jc w:val="both"/>
      </w:pPr>
      <w:r>
        <w:rPr>
          <w:b w:val="0"/>
        </w:rPr>
        <w:t>7.  The goods in question are Blister Copper of Heading 7402. The small quantity of gold naturally present in Blister Copper accounts for the declared value, and this is fully supported by the test report filed along with the Bill of Entry. The goods are imported for the purpose of further refining.</w:t>
      </w:r>
    </w:p>
    <w:p>
      <w:pPr>
        <w:ind w:left="576" w:hanging="576"/>
        <w:jc w:val="both"/>
      </w:pPr>
      <w:r>
        <w:rPr>
          <w:b w:val="0"/>
        </w:rPr>
        <w:t>8.  The clearance of this very commodity is governed by the Standard Operating Procedure issued by MEPZ Special Economic Zone, Chennai, titled "Standard Operating Procedure (SOP) - Clearance of Blister Copper under CTH 7402" bearing F.No. MEPZ-MSM043(C)/226/2025-SEZ Chennai (e-file No. I/131691/2026), a copy whereof is filed herewith. The said SOP declares its own object to be "to prescribe the procedure for examination, sampling, testing, and clearance of imported Blister Copper classified under Customs Tariff Heading (CTH) 7402", and its scope to extend to "all consignments of Blister Copper imported and declared under CTH 7402 and cleared after warehousing provisions under Z Bill filing and subsequent T Bill clearance" - that is to say, precisely the present consignment. The material stipulations of the SOP are these: (i) by clause 3(a), "the imported goods shall be subjected to 100% examination at the time of warehousing", and by clause 3(b) that examination is to be conducted by "the Authorised Officer (Examination Role)", who is to verify the description, the quantity and packing, the marks and identification particulars of the packages and the physical particulars of the goods; (ii) by clause 4(a), "sampling shall be conducted at the time of warehousing examination"; by clause 4(b), "three (03) sets of representative samples covering all packages/lots shall be drawn in tamper-proof sampling bags/containers"; by clause 4(c), "sampling shall be carried out strictly in accordance with the Sampling Procedure/Standing Instructions issued by Chennai Customs from time to time"; and by clause 4(d), "proper sample identification marks, seal numbers, Bill of Entry details, and package references shall be recorded in the examination report"; (iii) by clause 5, the first set is to be forwarded to CRCL, Chennai for chemical analysis by the "Fire Assay Test (Cupellation Method)" recognised under BIS standard IS 1418 and ISO 11426, the second set is to be forwarded simultaneously to a NABL-accredited metallurgical laboratory having Fire Assay facility, and the third set is "retained by the Authorised Officer under safe custody for future reference, dispute resolution, audit, or adjudication purposes"; (iv) by clause 6(c), "the Out of Charge (OOC) of the Z Bill of Entry may be granted after receipt and verification of the test report from either CRCL, Chennai or NABL-accredited, whichever is received earlier", and by clause 6(d) the T Bill of Entry for clearance into the domestic tariff area is filed thereafter; (v) by clause 7, where the two laboratory reports are contradictory on material parameters, the retained third sample is sent for re-testing to a referral government laboratory, and only thereafter is action "regarding assessment, reassessment, adjudication, or review" contemplated; and (vi) by clause 10, "any deviation from this SOP shall be subject to approval of the competent authority with reasons recorded in writing". The SOP therefore itself provides, in terms, that examination and sampling of Blister Copper under CTH 7402 are to take place at the time of warehousing, at the hands of the Authorised Officer, with records made in the examination report, and that the goods travel into the warehouse first and are tested thereafter. Any doubt as to the metal content of the present consignment is fully answered by the SOP's own mechanism of two parallel Fire Assay tests and a third retained sample, and not one of the Respondents is prejudiced by the goods being permitted to move into the Petitioner's Free Trade Warehousing Zone unit for that very purpose.</w:t>
      </w:r>
    </w:p>
    <w:p>
      <w:pPr>
        <w:ind w:left="576" w:hanging="576"/>
        <w:jc w:val="both"/>
      </w:pPr>
      <w:r>
        <w:rPr>
          <w:b w:val="0"/>
        </w:rPr>
        <w:t>9.  It is further submitted that one of the earlier consignments referred to in paragraph 5 above, namely that covered by Bill of Entry No. 7173539 dated 29.01.2026, was itself examined by Respondent No. 1. On the instructions of the Directorate of Revenue Intelligence, New Delhi, six samples were drawn at the Petitioner's unit on 05.02.2026 under F.No. 1162/NDR FTWZ 25-26 and were tested by the Custom House Laboratory, Chennai vide Lab Nos. 9319 to 9324-MEPZ dated 06.02.2026. The said reports confirmed the goods to be Blister Copper, being predominantly copper with zinc, nickel, iron and naturally occurring gold, and the goods were thereafter released to the Petitioner's unit. The issue now sought to be raised by Respondent No. 1 is therefore no longer res integra even on the Respondents' own records.</w:t>
      </w:r>
    </w:p>
    <w:p>
      <w:pPr>
        <w:ind w:left="576" w:hanging="576"/>
        <w:jc w:val="both"/>
      </w:pPr>
      <w:r>
        <w:rPr>
          <w:b w:val="0"/>
        </w:rPr>
        <w:t>10.  The consignment covered by Z-type Bill of Entry No. 2875354 dated 01.08.2026 referred to above is presently held at the Air Cargo Complex, Chennai by the Special Intelligence and Investigation Branch of that Commissionerate, and samples were drawn therefrom on 07.08.2026. That action is the subject matter of a separate Writ Petition filed by the Petitioner before this Hon'ble Court and is referred to herein only by way of narration and disclosure. The present Writ Petition is confined to the action taken by the officers of Respondent No. 1 on 10.08.2026 within the Petitioner's Free Trade Warehousing Zone unit.</w:t>
      </w:r>
    </w:p>
    <w:p>
      <w:pPr>
        <w:ind w:left="576" w:hanging="576"/>
        <w:jc w:val="both"/>
      </w:pPr>
      <w:r>
        <w:rPr>
          <w:b w:val="0"/>
        </w:rPr>
        <w:t>11.  While the aforesaid consignment continued to be so held at the Air Cargo Complex, officers of Respondent No. 1 visited the Petitioner's Free Trade Warehousing Zone unit at Warehouse No. 12, Part-G, Survey Nos. 161 and 162, at the Free Trade Warehousing Zone of M/s NDR Infrastructure Private Limited, Nandiambakkam Port Road, Chennai, on 10.08.2026, and there detained the stock of Blister Copper imported from the United Arab Emirates and lying warehoused in the said unit, and drew samples therefrom. The Petitioner was given no intimation of the proposed drawal of samples, was shown no authorisation for it, was furnished with no mahazar, panchanama, sampling memo or test memo, and to this day does not know what quantity was drawn, from which packages, in how many sets, under what seals, or to which laboratory any set has been sent. As on the date of the presentation of this Writ Petition, no order of detention and no order of seizure, no grounds of belief recorded in writing and no inventory has been served upon the Petitioner, and the Petitioner is not aware of any reasons having been recorded in writing, or of any intimation having been given to, or approval obtained from, Respondent No. 3 in respect of the said action.</w:t>
      </w:r>
    </w:p>
    <w:p>
      <w:pPr>
        <w:ind w:left="576" w:hanging="576"/>
        <w:jc w:val="both"/>
      </w:pPr>
      <w:r>
        <w:rPr>
          <w:b w:val="0"/>
        </w:rPr>
        <w:t>12.  On the same occasion, that is on 10.08.2026, the officers of Respondent No. 1 recorded the statement of Shri A. Krishnesh Raja, an employee of the Petitioner, purportedly under Section 108 of the Customs Act, 1962. A summons dated 10.08.2026 in F.No. GEN/INV/DR/170//2026-SIIB bearing DIN-20260873MY0000276822, issued by Shri Rajeev Kumar, Superintendent/Intelligence Officer, SIIB, Chennai-III (Preventive Commissionerate), required his attendance in person "on 10.08.2026 at 05:00PM" at the "O/o Customs Authorised Officer, FTWZ Unit at the M/s NDR Infrastructure Private Limited FTWZ", that is to say, on the very day of its issue and at the Petitioner's own premises. A copy of the said summons is filed herewith. On a verification carried out on the official Document Identification Number utility of the Central Board of Indirect Taxes and Customs at https://esanchar.cbic.gov.in/DIN/DINSearch, the said Document Identification Number is shown to be a valid Document Identification Number issued by the "Chennai-III(Preventive) Customs Commissionerate", but the date of generation of the said Document Identification Number is recorded as "2026-08-10 21:05:58", that is to say, at about 9.06 p.m. on 10.08.2026, several hours after the hour of 5.00 p.m. on 10.08.2026 at which attendance was required by the summons itself and after the statement had in fact been recorded; and the communication is classified on the said utility not as a summons but under the category "Other Communication", sub-category "letters", in the stream "CGST". A printout of the said verification is filed herewith. The Petitioner respectfully submits that these are matters within the exclusive knowledge of Respondent No. 1 and calls upon it to produce the relevant record.</w:t>
      </w:r>
    </w:p>
    <w:p>
      <w:pPr>
        <w:ind w:left="576" w:hanging="576"/>
        <w:jc w:val="both"/>
      </w:pPr>
      <w:r>
        <w:rPr>
          <w:b w:val="0"/>
        </w:rPr>
        <w:t>13.  The Petitioner has by its letter dated ____.08.2026 called upon Respondent No. 1 to furnish the order of detention or seizure, the grounds of belief, the mahazar and the sampling memo, and has sought release of the goods. The said letter has not been answered. The Petitioner craves leave to place on record any application made under Section 110A of the Customs Act, 1962 and the orders, if any, passed thereon.</w:t>
      </w:r>
    </w:p>
    <w:p>
      <w:pPr>
        <w:ind w:left="576" w:hanging="576"/>
        <w:jc w:val="both"/>
      </w:pPr>
      <w:r>
        <w:rPr>
          <w:b w:val="0"/>
        </w:rPr>
        <w:t>14.  The action of 10.08.2026 was taken within a Special Economic Zone and within a Unit. Section 22 of the Special Economic Zones Act, 2005 provides that an investigation, inspection, search or seizure in a Special Economic Zone or in a Unit may be carried out only where the officer or agency has reason to believe, the reasons being recorded in writing, that a notified offence has been committed or is likely to be committed, and only with prior intimation to the Development Commissioner concerned; and by the first proviso thereto no such action may be taken by any agency or officer other than those referred to in sub-sections (2) and (3) of Section 21 without the prior approval of the Development Commissioner concerned. By S.O. 2666(E) dated 05.08.2016, the only officer of the Customs authorised to act in a Special Economic Zone or Unit without prior intimation is the Additional Director General, Directorate of Revenue Intelligence, who must record his reasons in writing and intimate the details of the action to the Joint Secretary (SEZ), Department of Commerce not later than seven days of its initiation. By S.O. 2667(E) of the same date, the jurisdictional Customs Commissioner may act in a Special Economic Zone or Unit for reasons to be recorded in writing and with prior intimation to the Development Commissioner concerned. Respondent No. 1 is neither of them, and the Petitioner has been shown nothing to indicate that any of these conditions was satisfied. The Petitioner does not, in this Writ Petition, contend that the Customs authorities can never act within a Special Economic Zone; the Petitioner's case is that the conditions which the statute attaches to such action - the authorisation, the reasons recorded in writing and the intimation to or approval of the Development Commissioner - have not been shown to have been satisfied, and the record thereof lies with the Respondents and may be called for.</w:t>
      </w:r>
    </w:p>
    <w:p>
      <w:pPr>
        <w:ind w:left="576" w:hanging="576"/>
        <w:jc w:val="both"/>
      </w:pPr>
      <w:r>
        <w:rPr>
          <w:b w:val="0"/>
        </w:rPr>
        <w:t>15.  Respondent No. 1 is a necessary and proper party to this Writ Petition, being the authority whose officers detained the goods lying in the Petitioner's Free Trade Warehousing Zone unit on 10.08.2026, drew samples therefrom and recorded the statement of the Petitioner's employee, and the relief of release is sought directly against it. Respondent No. 2 is a necessary and proper party, being the Commissionerate under which the said Special Intelligence and Investigation Branch functions and from whose office the summons dated 10.08.2026 was issued. Respondent No. 3 is a necessary and proper party, being the authority administering the MEPZ Special Economic Zone under the Special Economic Zones Act, 2005, the authority whose prior intimation or approval Section 22 of the said Act requires, and the very authority which has issued the Standard Operating Procedure bearing F.No. MEPZ-MSM043(C)/226/2025-SEZ Chennai governing the clearance of Blister Copper under CTH 7402. Respondent No. 4 is a necessary and proper party, being the officer in whose custody the goods and the retained sample are required by the said Standard Operating Procedure to remain, and in whose office the statement of the Petitioner's employee was recorded.</w:t>
      </w:r>
    </w:p>
    <w:p>
      <w:pPr>
        <w:ind w:left="576" w:hanging="576"/>
        <w:jc w:val="both"/>
      </w:pPr>
      <w:r>
        <w:rPr>
          <w:b w:val="0"/>
        </w:rPr>
        <w:t>16.  The Petitioner is left with no efficacious alternative remedy. There is no order in writing capable of being appealed against, which is itself the vice complained of, and the Petitioner is therefore constrained to approach this Hon'ble Court under Article 226 of the Constitution of India.</w:t>
      </w:r>
    </w:p>
    <w:p/>
    <w:p>
      <w:pPr>
        <w:jc w:val="center"/>
      </w:pPr>
      <w:r>
        <w:rPr>
          <w:b/>
        </w:rPr>
        <w:t>GROUNDS</w:t>
      </w:r>
    </w:p>
    <w:p>
      <w:pPr>
        <w:jc w:val="both"/>
      </w:pPr>
      <w:r>
        <w:rPr>
          <w:b w:val="0"/>
        </w:rPr>
        <w:t>The Petitioner submits the following grounds, without prejudice to one another:</w:t>
      </w:r>
    </w:p>
    <w:p/>
    <w:p>
      <w:pPr>
        <w:ind w:left="576" w:hanging="576"/>
        <w:jc w:val="both"/>
      </w:pPr>
      <w:r>
        <w:rPr>
          <w:b w:val="0"/>
        </w:rPr>
        <w:t>1.  The detention is without authority of law. The Customs Act, 1962 contains no power of indefinite "detention" of goods de hors Section 110. If the proper officer has reason to believe that the goods are liable to confiscation, he must seize them under Section 110(1) and record and communicate the grounds; where goods cannot be conveniently removed, an order under Section 110(1A)/(1B) or the second proviso must be passed and served. The Respondents have done neither. A detention that is neither a seizure nor supported by any written order is an executive act without statutory sanction and is liable to be struck down. It has been held that there is no provision in the Customs Act, 1962 for the detention of imported goods, and that the Department cannot, under the garb of detention, avoid the consequences that flow from a seizure: Jatinder Kumar Sachdeva v. Union of India, W.P.(C) No. 1492 of 2016, order of the High Court of Delhi dated 08.12.2016 (reported as [2017] 77 taxmann.com 50); Exim Incorporation v. Union of India, W.P. No. 1898 of 2020, judgment of the High Court of Judicature at Bombay dated 09.12.2020, where a Division Bench held the very first illegality to be that the authorities had detained the goods without effecting a seizure; and M/s. Om Udyog v. Union of India, High Court of Punjab and Haryana, order dated 14.05.2010. In Exim Incorporation the Division Bench recorded that "We have carefully perused the provisions of the Customs Act but we could not come across any such provision authorizing detention of goods", that even on the Department's own understanding of its Central Apprising Manual "detention would be at a stage post seizure. First there has to be seizure of the goods only whereafter the goods can be detained. In the instant case, admittedly there is no seizure. Therefore, there can be no detention", that "Detention cannot be taken resort to or the customs authorities cannot take the plea of detention to avoid consequences of seizure under sub section (2) of section 110 of the Customs Act", and that "First illegality is they have detained the goods without affecting seizure." The Division Bench further adverted to Section 47 and held that although clearance "may take some time but certainly the goods cannot be detained for an indefinite period in the name of verification", and, following Om Udyog v. Union of India, 2010 (254) E.L.T. 547 (P&amp;H) (DB), that "no authority can plead unlimited power of non-clearance for its own incompetence as a justification beyond reasonable period" and that officers "are not immune from accountability against abuse of power by detaining goods for indefinite period". The consignment there was directed to be released forthwith and in any event within two weeks. The same reasoning applies with greater force here, where nothing whatsoever is in writing.</w:t>
      </w:r>
    </w:p>
    <w:p>
      <w:pPr>
        <w:ind w:left="576" w:hanging="576"/>
        <w:jc w:val="both"/>
      </w:pPr>
      <w:r>
        <w:rPr>
          <w:b w:val="0"/>
        </w:rPr>
        <w:t>2.  The detention is, in substance, a seizure without the safeguards of a seizure. By withholding the goods indefinitely, the Respondents have achieved every practical consequence of a seizure under Section 110 while denying the Petitioner the statutory protections that attend a seizure, namely the recording and communication of the grounds of belief, the issue of a show cause notice within six months under Section 110(2), and the right to seek provisional release under Section 110A. The Department cannot take the benefit of a coercive power while avoiding the discipline that the statute attaches to it. That the safeguards of Section 110 cannot be circumvented by describing the act as a detention is settled: Union of India v. Jatin Ahuja, Civil Appeal No. 3489 of 2024, judgment of the Hon'ble Supreme Court dated 11.09.2025, holding that the only power to extend time is that under the first proviso to Section 110(2) and that goods must be returned where no notice is issued within the prescribed period; and M/s. S.J. Fabrics Pvt. Ltd. v. Union of India, judgment of the High Court at Calcutta dated 19.04.2011, in a case where the Department neither issued a show cause notice nor passed an order of seizure under Section 110 while continuing to hold the consignment.</w:t>
      </w:r>
    </w:p>
    <w:p>
      <w:pPr>
        <w:ind w:left="576" w:hanging="576"/>
        <w:jc w:val="both"/>
      </w:pPr>
      <w:r>
        <w:rPr>
          <w:b w:val="0"/>
        </w:rPr>
        <w:t>3.  The action taken on 10.08.2026 within the Special Economic Zone and within the Petitioner's Unit is contrary to Section 22 of the Special Economic Zones Act, 2005. That provision, which by Section 51 has overriding effect, permits a search or seizure in a Special Economic Zone or in a Unit only upon reasons recorded in writing that a notified offence has been or is likely to be committed and, save in the case of an officer authorised by the Central Government, only with the prior intimation or prior approval of the Development Commissioner concerned. The only Customs officer so authorised to act without prior intimation is the Additional Director General, Directorate of Revenue Intelligence under S.O. 2666(E) dated 05.08.2016, and even he must record reasons in writing and report the action to the Joint Secretary (SEZ) within seven days; the only other route is that of the jurisdictional Customs Commissioner under S.O. 2667(E) of the same date, upon written reasons and with prior intimation to the Development Commissioner. Respondent No. 1, an Additional Commissioner heading an intelligence and investigation wing, is neither, and no written reasons, no intimation and no approval have been shown to the Petitioner. The Petitioner does not contend that Section 22 is an absolute bar to action by the Customs within a Zone; the contention is that the statute makes such action conditional, and that the conditions have not been shown to be satisfied. The entire record of compliance - the authorisation or delegation, if any, in favour of Respondent No. 1, the reasons recorded in writing, and the intimation to or approval of the Development Commissioner - lies with Respondent Nos. 1 and 3 and may be called for, and the Petitioner submits that in the absence of production thereof the action must be held to be without authority.</w:t>
      </w:r>
    </w:p>
    <w:p>
      <w:pPr>
        <w:ind w:left="576" w:hanging="576"/>
        <w:jc w:val="both"/>
      </w:pPr>
      <w:r>
        <w:rPr>
          <w:b w:val="0"/>
        </w:rPr>
        <w:t>4.  The action of 10.08.2026 at the Petitioner's unit is in any event bad for non-compliance with Section 110 of the Customs Act, 1962. If the goods were seized, the proper officer was bound to have reason to believe that they were liable to confiscation, to record and communicate the grounds of belief, to prepare an inventory and a mahazar and furnish a copy to the person from whose custody the goods were taken, to issue notice under Section 124 within the period prescribed by Section 110(2), and to consider a request for provisional release under Section 110A. If, on the other hand, the goods were merely "detained", there is no such power in the Act at all. Either way the Petitioner is without a document of any kind, although the goods were taken over on its own premises. A seizure of which no memorandum is served is no better in law than the undocumented detention complained of above: Union of India v. Jatin Ahuja, Civil Appeal No. 3489 of 2024 (Supreme Court, 11.09.2025); Jatinder Kumar Sachdeva v. Union of India (Delhi, 08.12.2016); Exim Incorporation v. Union of India (Bombay, 09.12.2020). This Hon'ble Court has had occasion to deal with the like conduct of this very formation in M/s. J.K. Exim v. Principal Commissioner of Customs, W.P. No. 36866 of 2016 (order dated 19.01.2017), where goods detained by the Special Intelligence and Investigation Branch, Chennai were the subject of a seizure mahazar which was not communicated to the importer for several months.</w:t>
      </w:r>
    </w:p>
    <w:p>
      <w:pPr>
        <w:ind w:left="576" w:hanging="576"/>
        <w:jc w:val="both"/>
      </w:pPr>
      <w:r>
        <w:rPr>
          <w:b w:val="0"/>
        </w:rPr>
        <w:t>5.  The drawal of samples at the Petitioner's unit on 10.08.2026 was without authorisation and without any contemporaneous record. Section 144 of the Customs Act, 1962 permits the proper officer to take samples for examination or testing, or for ascertaining the value thereof, or for any other purposes of the Act, and requires a receipt for the sample to be given to the owner. Nothing was shown to the Petitioner by way of authorisation for the drawal, no receipt was given, no sampling memo or test memo was issued, no mahazar or panchanama was drawn in the presence of the Petitioner or its representative, and the Petitioner has not been told how many sets were drawn, from which packages, under what seals, or to which laboratory any set has been forwarded. Circular No. 30/2017-Cus requires the presence of the importer or his representative and his certification that the samples drawn are representative, and the immediate communication of all test results. Further, the very SOP issued by Respondent No. 3 for this commodity requires the examination and sampling to be conducted by the Authorised Officer (Examination Role) at the time of warehousing, in three sets, in tamper-proof bags or containers, with the sample identification marks, seal numbers, Bill of Entry details and package references recorded in the examination report. Samples drawn in defiance of all of these safeguards are of no evidentiary value and cannot form the foundation of any adverse action.</w:t>
      </w:r>
    </w:p>
    <w:p>
      <w:pPr>
        <w:ind w:left="576" w:hanging="576"/>
        <w:jc w:val="both"/>
      </w:pPr>
      <w:r>
        <w:rPr>
          <w:b w:val="0"/>
        </w:rPr>
        <w:t>6.  The summons dated 10.08.2026 and the statement recorded thereunder are vitiated by their own record. The summons in F.No. GEN/INV/DR/170//2026-SIIB bearing DIN-20260873MY0000276822 required the attendance of Shri A. Krishnesh Raja, an employee of the Petitioner, "on 10.08.2026 at 05:00PM", that is on the very day and, in substance, at the very hour of its issue, leaving no opportunity whatsoever to seek advice or to be represented; and the verification of the said Document Identification Number on the official utility of the Central Board of Indirect Taxes and Customs records the date of generation of the Document Identification Number as 2026-08-10 21:05:58, that is several hours after the hour appointed for attendance and after the statement had in fact been recorded. The same verification classifies the communication not as a summons but as "Other Communication", sub-category "letters", in the stream "CGST". A statement obtained in such circumstances, from an employee at the Petitioner's own premises simultaneously with the taking over of its goods, cannot be treated as a statement voluntarily made in a proceeding deemed to be judicial within the meaning of Section 108(4) of the Customs Act, 1962, and the Petitioner reserves its right to seek cross-examination and to retract.</w:t>
      </w:r>
    </w:p>
    <w:p>
      <w:pPr>
        <w:ind w:left="576" w:hanging="576"/>
        <w:jc w:val="both"/>
      </w:pPr>
      <w:r>
        <w:rPr>
          <w:b w:val="0"/>
        </w:rPr>
        <w:t>7.  Non-communication of reasons is fatal. Reasons are the link between the material and the conclusion. An administrative action affecting valuable civil and property rights must disclose reasons, and reasons cannot be supplied ex post facto by way of a counter-affidavit.</w:t>
      </w:r>
    </w:p>
    <w:p>
      <w:pPr>
        <w:ind w:left="576" w:hanging="576"/>
        <w:jc w:val="both"/>
      </w:pPr>
      <w:r>
        <w:rPr>
          <w:b w:val="0"/>
        </w:rPr>
        <w:t>8.  An assessed Z-type Bill of Entry cannot be undone by an officer of Respondent No. 1, who has no power or jurisdiction to do so. The 'Z' type Bill of Entry is not a creature of executive discretion: it is the document prescribed by Rule 29 of the SEZ Rules, 2006 for the import of goods into a Special Economic Zone, filed electronically under the Bill of Entry (Electronic Integrated Declaration and Paperless Processing) Regulations, 2018 (Notification No. 36/2018-Customs (N.T.) dated 11.05.2018, G.S.R. 447(E)), regulation 4 whereof provides that the Bill of Entry shall be deemed to have been filed and self-assessment completed upon entry of the electronic integrated declaration on the Customs Automated System, such filing being made on ICEGATE pursuant to the migration of all non-IT/ITES Special Economic Zones and Free Trade Warehousing Zones from the SEZ-Online system to ICEGATE with effect from 01.07.2024 vide letter No. J.16/3/2007-SEZ Vol-V dated 22.06.2024 of the Ministry of Commerce and Industry, Department of Commerce (SEZ Division), read with the clarification of even number dated 29.06.2024. The Bill of Entry was assessed by the Authorised Officer under Rule 29(2) of the SEZ Rules, 2006, which assessment does not even require the counter-signature of the Specified Officer; and under Rule 29(2) the registered or assessed Bill of Entry, endorsed by the Authorised Officer, is itself the permission for the transfer of the goods to the Special Economic Zone. Under Rules 27(10) and 75 of the said Rules, goods are assessed and allowed inward and outward movement on the basis of the self-declaration of the Unit, and after the insertion of Rule 47(5) by G.S.R. 772(E) dated 08.08.2016 the functions of assessment, re-assessment and adjudication in relation to a Unit are those of the jurisdictional Customs authority in the manner prescribed. The Customs Act, 1962 confers the power to alter an assessment only upon the proper officer within the meaning of Section 2(34), and only in the manner prescribed by Section 17(4) and (5) (re-assessment, with a speaking order) or Section 18 (provisional assessment); the power to withhold goods on a reason to believe that they are liable to confiscation is conferred only upon the officer acting under Section 110. Respondent No. 1 is an intelligence and investigation wing. It is not the assessing authority in respect of a Z-type Bill of Entry, it did not assess this Bill of Entry, and it is invested with no power whatsoever to cancel, suspend, review, re-open or nullify an assessment already made by the Authorised Officer, nor to render the resulting statutory permission inoperative. Neither Section 17(4)/(5) nor Section 18 nor Section 110 has been invoked. What Respondent No. 1 has done, therefore, is to set at naught a subsisting statutory permission granted by another statutory authority by an act for which the statute furnishes no source of power at all. An assessment made under a statute can be displaced only in the manner and by the authority which that statute prescribes, and an officer who is given no such power cannot acquire it by simply refusing to let the goods move. It is significant that neither Rule 29 of the SEZ Rules, 2006, nor the Regulations of 2018, nor the said letters dated 22.06.2024 and 29.06.2024, nor any notification or instruction governing the filing and processing of a 'Z' type Bill of Entry, contains any provision enabling any officer to withhold, suspend or keep in abeyance a Bill of Entry that has already been assessed, or to prevent the movement of the goods thereunder.</w:t>
      </w:r>
    </w:p>
    <w:p>
      <w:pPr>
        <w:ind w:left="576" w:hanging="576"/>
        <w:jc w:val="both"/>
      </w:pPr>
      <w:r>
        <w:rPr>
          <w:b w:val="0"/>
        </w:rPr>
        <w:t>9.  The impugned action reverses the very sequence which the Central Board of Indirect Taxes and Customs itself prescribes for a Z-type Bill of Entry, and assumes a power which the Board's own system does not contain. The procedure for a consignment imported from a foreign territory into a Special Economic Zone unit is set out by the Directorate General of Systems and Data Management, Central Board of Indirect Taxes and Customs, in its advisory titled "Process of customs clearance of Imported goods from foreign country to SEZ unit in ICES", and in the "User Manual - SEZ Web Forms (ICEGATE)" issued by the Central Board of Indirect Taxes and Customs dated 26.06.2023 (Version 1.01), copies whereof are filed herewith. The said advisory states that "for imported goods, complete process in ICES would be as follows: Filing of IGM (by shipping line) - Filing of bill of entry (by importer) - Assessment of bill of entry (by officer through APR &amp; ACL roles) - Transhipment permission at gateway port/airport - Registration of goods at SEZ (by officer through AAI role) - Examination/inspection of goods (by officer through INS role) - Out of charge (by officer through SUP role)". The examination and inspection of the goods therefore comes, on the Board's own document, only after the goods have been moved to the Zone and registered there, and is a function assigned to the officer holding the INS role, precisely as clause 3(a) and clause 4(a) of the said Standard Operating Procedure require examination and sampling to be carried out at the time of warehousing and by the Authorised Officer. The said advisory further records that "the bill of entry format is similar to a warehouse bill of entry filed at a customs port"; that a 'Z' type Bill of Entry "can be filed at any SEZ location against a line of the IGM irrespective of the port of destination declared in the IGM", the illustration given in the advisory itself being of a Bill of Entry filed at INMAA6 for a unit located at MEPZ Special Economic Zone; that transhipment permission for moving the cargo to the Zone from the gateway port or airport "can be generated only when there is sufficient balance available in the bond submitted by the SEZ unit", an amount equal to the duty value being debited at the time of approval of the transhipment, so that the revenue stands secured upon the Unit's bond before the goods move at all; that where no foreign exchange is involved at the time of import, "where foreign supplier is keeping his goods in the SEZ unit", a dummy authorised dealer code 'NFEI' has been created for the filing, which is the very arrangement of the Petitioner and its client; that "assessment and examination of bill of entry would depend upon RMS risk treatment of bill of entry"; that such a Bill of Entry "would not be sent to PGA (Partner Government Agency) for NOC", the requirements of the Partner Government Agencies applying only at the stage of clearance to the domestic tariff area on a 'T' type Bill of Entry; and that the Indian Customs EDI System "is maintaining a ledger of all Z type of bills of entry", the balance quantity being required to exist in that ledger before any clearance can be effected, so that the goods can neither be diverted nor cleared without account. Most materially, the said advisory expressly records that "there is no first check option available for 'Z' type Bill of entry". A first check is the very procedure by which goods are examined and tested before assessment; it is not available at all for a Bill of Entry of this description. The drawal of samples on 10.08.2026 by officers holding none of the said roles, and without any risk treatment of the Risk Management System being disclosed, was in substance a first check by another name, for which there is neither statutory nor administrative sanction. Each act upon such a Bill of Entry is thus allotted by the Customs Automated System to a designated role, namely the APR and ACL roles for assessment, the AAI role for registration of the goods at the Zone, the INS role for examination and the SUP role for out of charge, and the officers of Respondent No. 1 hold none of them. An assessment made in the system by the officer in the assessing role, upon a Bill of Entry from which the duty forgone has already been debited to the Unit's registered bond, cannot be rendered inoperative by an officer outside that scheme who has neither passed any order under Section 17(4) or Section 17(5) or Section 18 of the Customs Act, 1962 nor effected any seizure under Section 110 thereof.</w:t>
      </w:r>
    </w:p>
    <w:p>
      <w:pPr>
        <w:ind w:left="576" w:hanging="576"/>
        <w:jc w:val="both"/>
      </w:pPr>
      <w:r>
        <w:rPr>
          <w:b w:val="0"/>
        </w:rPr>
        <w:t>10.  The action is in breach of binding instructions of the Central Board of Indirect Taxes and Customs. Circular No. 84/95-Cus directs that long detentions of imported cargo are to be avoided by all Customs authorities "including Intelligence and enforcement authorities", and that where detention is unavoidable the cargo be moved to a warehouse under Section 49. Circular No. 01/2011-Cus. dated 04.01.2011 (F. No. 401/179/2009-Cus.III), which although issued in terms of goods entered for exportation was applied by this Hon'ble Court in M/s. J.K. Exim v. Principal Commissioner of Customs, W.P. No. 36866 of 2016, records in paragraph 4 the governing principle that "Seizure should be resorted to only when the Customs officers have a reason to believe that the goods in question are liable to confiscation under the Customs Act, 1962 and thereafter the provisions of Section 110A of the Customs Act, 1962 would come into play", that where "the goods are to be detained for purpose of tests etc. to confirm the declaration ... the endeavour should be to quickly undertake the necessary action (test / enquiry etc.) and take appropriate legal action thereafter so that the period of detention is kept to the minimum", and, in paragraph 4(d), that goods detained for the purpose of tests "must be dealt with on priority" and that continued detention "in excess of 3 days must be brought to the notice of the Commissioner of Customs, who will safeguard the interest of the genuine exporters as well as the revenue". Circular No. 30/2013-Cus reiterates that instruction and requires continued detention beyond three days to be brought to the notice of the Commissioner of Customs. Circular No. 30/2017-Cus, issued to give effect to Articles 5.3.1 and 5.3.3 of the WTO Trade Facilitation Agreement, mandates that the results of all test reports, adverse or otherwise, be communicated to the importer immediately on receipt, confers a right of re-test, and requires that where fresh samples are drawn "such sampling should be done in the presence of the importer or his representative". Circular No. 43/2017-Cus requires the standard sampling technique prescribed by the concerned laboratory to be followed. Each of these instructions has been breached. Departmental circulars are binding upon the Revenue and the Respondents cannot act in defiance of them.</w:t>
      </w:r>
    </w:p>
    <w:p>
      <w:pPr>
        <w:ind w:left="576" w:hanging="576"/>
        <w:jc w:val="both"/>
      </w:pPr>
      <w:r>
        <w:rPr>
          <w:b w:val="0"/>
        </w:rPr>
        <w:t>11.  The action is in the teeth of the departmental Standard Operating Procedure, which the Respondents are bound to follow, and constitutes an unauthorised deviation from it. The SOP bearing F.No. MEPZ-MSM043(C)/226/2025-SEZ Chennai (e-file No. I/131691/2026) prescribes a complete and self-contained procedure for Blister Copper of CTH 7402 imported on a Z Bill of Entry, and every step of what was done on and after 07.08.2026 departs from it. First, the SOP fixes the occasion for examination and sampling: clause 3(a) requires "100% examination at the time of warehousing" and clause 4(a) requires that "sampling shall be conducted at the time of warehousing examination". Samples were instead drawn at the Air Cargo Complex before the goods were warehoused at all. Secondly, the SOP fixes the officer: clause 3(b) entrusts the examination to "the Authorised Officer (Examination Role)" and clause 5(c) requires the third set to be retained by the Authorised Officer. The samples were drawn by officers of Respondent No. 1, who is not the Authorised Officer under the SEZ Rules, 2006 and to whom the SOP assigns no role whatsoever. Thirdly, the SOP fixes the manner and the record: clause 4(b) requires three sets of representative samples covering all packages or lots in tamper-proof bags or containers; clause 4(c) requires sampling "strictly in accordance with the Sampling Procedure/Standing Instructions issued by Chennai Customs"; and clause 4(d) requires the sample identification marks, seal numbers, Bill of Entry details and package references to be "recorded in the examination report". The Petitioner has been given no examination report, no sampling memo, no seal numbers and no indication of the number of sets drawn or of the laboratory to which any set has been sent. Fourthly, the SOP fixes the sequence: warehousing first, testing thereafter, Out of Charge of the Z Bill of Entry on whichever of the two reports comes first (clause 6(c)), and recourse to the retained third sample if the reports conflict (clause 7). The Respondents have inverted that sequence by holding the goods at the Air Cargo Complex indefinitely. Fifthly, and decisively, clause 10 of the SOP provides that "any deviation from this SOP shall be subject to approval of the competent authority with reasons recorded in writing". No such approval, and no such recorded reasons, have been shown or even claimed to exist. A departmental instruction of this kind binds the officers of the Department, who cannot substitute for it a procedure of their own invention; and where the instruction itself permits departure only upon written reasons approved by the competent authority, an undocumented departure is, without more, arbitrary and unsustainable.</w:t>
      </w:r>
    </w:p>
    <w:p>
      <w:pPr>
        <w:ind w:left="576" w:hanging="576"/>
        <w:jc w:val="both"/>
      </w:pPr>
      <w:r>
        <w:rPr>
          <w:b w:val="0"/>
        </w:rPr>
        <w:t>12.  The statutory scheme of the SEZ Act places the goods beyond the reach of the impugned action. By Section 53(1) of the SEZ Act, 2005, a Special Economic Zone is deemed to be territory outside the customs territory of India for the purposes of undertaking authorised operations, and by Section 51 the SEZ Act has overriding effect over anything inconsistent contained in any other law. The goods in question are covered by a Z-type Bill of Entry filed for warehousing in a Free Trade Warehousing Zone unit and are moving into that Zone under the warehousing procedure and not into the domestic tariff area. It is for that very reason that, in Morgan Tectronics Ltd. v. Commissioner of Customs, New Delhi, the Customs authority having jurisdiction over the Special Economic Zone, and not the Air Cargo Customs Commissionerate, was held to be the authority competent to deal with cargo destined for a unit in the Zone. No question of duty, of assessment for home consumption, or of clearance into the domestic tariff area arises at this stage at all, and the interest of the Revenue is in any event fully protected by the third set of samples retained under the SOP and by the bond furnished by the Unit.</w:t>
      </w:r>
    </w:p>
    <w:p>
      <w:pPr>
        <w:ind w:left="576" w:hanging="576"/>
        <w:jc w:val="both"/>
      </w:pPr>
      <w:r>
        <w:rPr>
          <w:b w:val="0"/>
        </w:rPr>
        <w:t>13.  The Department's own laboratory has already answered the very question now sought to be reopened. The Custom House Laboratory, Chennai, in Lab Nos. 9319 to 9324-MEPZ dated 06.02.2026, on samples drawn by Respondent No. 1 itself at the instance of the DRI, certified the goods to be Blister Copper containing naturally occurring gold, and the goods were released. Reopening the identical issue on the identical commodity, without any new material, amounts to harassment.</w:t>
      </w:r>
    </w:p>
    <w:p>
      <w:pPr>
        <w:ind w:left="576" w:hanging="576"/>
        <w:jc w:val="both"/>
      </w:pPr>
      <w:r>
        <w:rPr>
          <w:b w:val="0"/>
        </w:rPr>
        <w:t>14.  The action violates Article 300A. The Petitioner (and its client) are being deprived of possession and enjoyment of property of a declared value of Rs. 8,32,51,039.90 otherwise than by authority of law.</w:t>
      </w:r>
    </w:p>
    <w:p>
      <w:pPr>
        <w:ind w:left="576" w:hanging="576"/>
        <w:jc w:val="both"/>
      </w:pPr>
      <w:r>
        <w:rPr>
          <w:b w:val="0"/>
        </w:rPr>
        <w:t>15.  The action is arbitrary and violative of Article 14. The Respondents have permitted eighteen identical consignments of the same commodity, filed by the same unit on the same type of Bill of Entry, to be warehoused without objection between 25.11.2025 and 01.08.2026, including a consignment on the very same day (BoE No. 2875203 dated 01.08.2026). Singling out the present consignment for detention, without any change in facts, law or classification, and without disclosing any reason, is discriminatory and arbitrary.</w:t>
      </w:r>
    </w:p>
    <w:p>
      <w:pPr>
        <w:ind w:left="576" w:hanging="576"/>
        <w:jc w:val="both"/>
      </w:pPr>
      <w:r>
        <w:rPr>
          <w:b w:val="0"/>
        </w:rPr>
        <w:t>16.  Past contemporaneous clearances of the identical goods entitle the Petitioner to release, and the course adopted by this Hon'ble Court in a case arising out of the self-same Free Trade Warehousing Zone at Nandiyambakkam is directly in point. In M/s. Hi Rexine v. The Deputy Director, DRI (Headquarters) and others, W.P. No. 15944 of 2025 (order dated 02.06.2025), the petitioner had imported 'PVC Coated Fabric' on Bill of Entry No. 7882362 dated 20.01.2025 and the goods had been moved to a Special Economic Zone unit; the petitioner had approached the authorities for clearance of those goods from the Zone and was told that the Directorate of Revenue Intelligence had initiated an investigation and that "only after obtaining the test report, a decision would be taken for release of the goods", the goods being thereafter detained by panchanama dated 25.01.2025. When the matter came before this Hon'ble Court, the Revenue objected that the representation then on record "is not for provisional release of the imported goods as per the provisions of Section 110A of the Customs Act, 1962, but, it is for the final assessment"; and this Hon'ble Court, without expressing any opinion on the merits, directed the petitioner to "submit a fresh representation to the respondents seeking for provisional release" within one week and directed the respondents to "pass final orders on merits and in accordance with law" thereon, after giving due consideration to Navshakti Industries Pvt. Ltd. v. Commissioner of Customs, Delhi, 2011 (267) E.L.T. 483 (Del.), affirmed by the Hon'ble Supreme Court in 2011 (269) E.L.T. (A-146) (SC), and to Regulation 2 of the Customs (Provisional Duty Assessment) Regulations, 2011, within four weeks thereafter. What began, therefore, as a request for clearance of warehoused goods into the domestic tariff area was carried forward by this Hon'ble Court as an application for provisional release under Section 110A of the Customs Act, 1962. Thereafter, in M/s. Hi Rexine v. The Additional Commissioner of Customs (SEZ-FTWZ), Preventive Commissionerate, No. 60 Rajaji Salai, Custom House, Chennai, W.P. No. 28694 of 2025 (order dated 23.09.2025), when the provisional release order made in compliance with the earlier direction demanded a bank guarantee of Rs. 10,00,000 together with a bond equal to the re-determined value of Rs. 35,00,000, this Hon'ble Court held that the only question was "whether the conditions imposed by the respondent in the impugned provisional release order require the interference of this Court", applied the yardstick laid down in W.P. No. 32472 of 2025 (order dated 18.09.2025) - which in turn followed Green Line v. Commissioner of Customs, Chennai-IV, 2016 (340) E.L.T. 140 (Mad.), affirmed in W.A. No. 1243 of 2016 dated 25.10.2016, and the Division Bench in Commissioner of Customs v. Sri Venkateshwara Paper Boards, 2022 (379) E.L.T. 310 (Mad.), where it was held that a direction to furnish a bank guarantee towards redemption fine and penalty "would be harsh as the show-cause notice is yet to be adjudicated" - and modified the conditions by directing the petitioner to remit the entire duty as declared, to pay fifty per cent of the differential duty on the value arrived at by the Department, and to execute bonds, including a bond in place of the bank guarantee, the goods to "be released by the respondent within a period of seven days from the date of compliance of the conditions". It is respectfully submitted that the Petitioner's case stands on a distinctly stronger footing: there is no seizure memo, no grounds of belief and no re-determination of value at all; there are eighteen prior clearances of the identical commodity; and the Department's own laboratory has reported upon it. Further, in Principal Commissioner of Customs-III (SIIB), Custom House, Chennai v. M/s. B.V. Leathers, order dated 19.09.2017, a Division Bench of this Hon'ble Court, dealing with this very formation, sustained an order of provisional release and relied upon paragraph 4 of Circular No. 01/2011-Cus. In M/s. Nova Enterprises v. The Additional Commissioner of Customs (SEZ-FTWZ), Preventive Commissionerate, W.P. No. 29074 of 2025 (order dated 23.09.2025), this Hon'ble Court dealt with goods moved to a Special Economic Zone unit on the same footing and on like terms. In M/s. A.R. Fabrics Private Limited v. The Principal Commissioner of Customs, W.P. No. 26414 of 2025, which arose out of a seizure memo in respect of goods within the jurisdiction of the Preventive Commissionerate at MEPZ Special Economic Zone, this Hon'ble Court permitted the goods to be dealt with on conditions notwithstanding a pending investigation, the interest of the Revenue being adequately protected. Where, as here, no order of seizure has been made at all, no lesser relief can be justified.</w:t>
      </w:r>
    </w:p>
    <w:p>
      <w:pPr>
        <w:ind w:left="576" w:hanging="576"/>
        <w:jc w:val="both"/>
      </w:pPr>
      <w:r>
        <w:rPr>
          <w:b w:val="0"/>
        </w:rPr>
        <w:t>17.  The samples have been drawn twice over, by two different formations, and neither drawal is supported by any record. Samples were drawn from the goods lying in the Petitioner's Free Trade Warehousing Zone unit on 10.08.2026 by officers of Respondent No. 1, and samples had already been drawn on 07.08.2026 from the Petitioner's other consignment held at the Air Cargo Complex, Chennai by officers of the Special Intelligence and Investigation Branch of the Air Cargo Complex, in respect of which a separate Writ Petition is being filed. The Standard Operating Procedure contemplates a single drawal, at the time of the warehousing examination, by the Authorised Officer, in three representative sets in tamper-proof bags or containers, with the sample identification marks, seal numbers, Bill of Entry details and package references recorded in the examination report, one set going to CRCL, one to a NABL-accredited laboratory and the third being retained by the Authorised Officer for dispute resolution, audit or adjudication. Two separate departmental drawals, made by officers to whom the SOP assigns no role, without a memo, without a receipt under Section 144 of the Customs Act, 1962, without any seal or package record and without the Petitioner being told what was drawn or where it was sent, leave no ascertainable chain of custody and destroy the evidentiary value of whatever may be reported upon them. A reasonable belief for the purposes of Section 110 cannot be founded upon material gathered in that manner, and the Petitioner is entitled to have the record of both drawals produced before any consequence is visited upon it.</w:t>
      </w:r>
    </w:p>
    <w:p>
      <w:pPr>
        <w:ind w:left="576" w:hanging="576"/>
        <w:jc w:val="both"/>
      </w:pPr>
      <w:r>
        <w:rPr>
          <w:b w:val="0"/>
        </w:rPr>
        <w:t>18.  The same line of business of the same Petitioner cannot be made the subject of investigation over and over again, by one formation after another. The Special Intelligence and Investigation Branch has detained the Petitioner's consignments of the identical commodity on an earlier occasion, and eighteen identical consignments have been examined, sampled, tested and cleared; the very question now sought to be reopened has already been answered by the Department's own laboratory. The Petitioner is now called upon to face, simultaneously, two separate formations of the same Department acting on the same commodity, the same supplier, the same classification and the same alleged issue: the officers of Respondent No. 1 detained the Petitioner's consignment lying in its Free Trade Warehousing Zone unit, drew samples from it and recorded a statement under Section 108 on 10.08.2026, and the officers of the Special Intelligence and Investigation Branch at the Air Cargo Complex, Chennai had three days earlier, on 07.08.2026, independently detained the Petitioner's other consignment covered by Bill of Entry No. 2875354 dated 01.08.2026 and drawn samples from it, in respect of which a separate Writ Petition is being filed. An importer deals with the Department as a single entity. The Union of India acts through its officers but it is one respondent, and the view taken by the Department is the view of the Department and not the private opinion of the individual officer who happens to hold the file. Successive and parallel investigations into the same line of business, each begun afresh as though nothing had gone before, are the very definition of harassment and are arbitrary within the meaning of Article 14, and they defeat the Petitioner's right under Article 19(1)(g) to carry on its business.</w:t>
      </w:r>
    </w:p>
    <w:p>
      <w:pPr>
        <w:ind w:left="576" w:hanging="576"/>
        <w:jc w:val="both"/>
      </w:pPr>
      <w:r>
        <w:rPr>
          <w:b w:val="0"/>
        </w:rPr>
        <w:t>19.  The impugned action is contrary to the Board's own binding discipline governing investigation. Instruction No. 27/2024-Customs dated 01.11.2024 (F. No. 394/39(14)/2018-Commr.(Inv.-Cus.)), issued for the very category of commercial intelligence or fraud cases into which the present allegation falls, provides in paragraph 2.1 that "Within the jurisdiction of the Commissionerate, the Commissioner is responsible for developing and approving any intelligence, investigation and its completion. Each investigation must be initiated only after the approval of the Commissioner", and that such investigation "must reach the earliest conclusion which is normally not more than one year". Paragraph 2.2 requires the intelligence to be analysed beforehand against "available data, technical literature, prevalent industry practice, judicial pronouncements, extant legal framework, precedence etc.", so that information is sought holistically at the first instance, "which is an important factor in minimizing interface with the importer/exporter". Paragraph 2.3 requires expressly that the analysis "should extend to checking open-source information and the entries in DIGIT and DIN in terms of the existing investigations related to the same entity and also if an investigation on the same issue exists". Paragraph 2.5 requires that documents be sought "preferably by writing letter", that the time frame for appearance be "reasonable and keeping in view the mode of communication of the letter/summon", that the relevancy and propriety of what is sought be recorded on the e-file "so as not to have repeated issuance of letter/summons or seeking of piecemeal information", that each content of the summons have "prior reasoned approval (of officer not below Dy/Asst. Commissioner level)", that any statement recorded and any panchnama or mahazar be uploaded to the same e-office file and submitted to the Additional or Joint Commissioner "within 4 working days", that the letter or summons "disclose the specific nature of the inquiry" because "vague (or general) expressions must be avoided", and that "Issuing letter/summons with context or content akin to a fishing inquiry is not acceptable". Not one of these requirements is shown to have been met: there is no Commissioner's approval on record, no reasoned approval for the summons, no disclosure of the specific inquiry, no ascertainment of the concurrent investigation by the other formation although both are recorded on DIN and DIGIT, and no record of the sampling or of the statement. Board instructions bind the Revenue and an act done in the teeth of them cannot stand.</w:t>
      </w:r>
    </w:p>
    <w:p>
      <w:pPr>
        <w:ind w:left="576" w:hanging="576"/>
        <w:jc w:val="both"/>
      </w:pPr>
      <w:r>
        <w:rPr>
          <w:b w:val="0"/>
        </w:rPr>
        <w:t>20.  The Department must speak with one voice, and having accepted the Petitioner's classification and valuation in the identical transactions, it cannot reverse itself consignment by consignment. "We cannot permit the Revenue to take a different stand in this case": Birla Corporation Ltd. v. Commissioner of Central Excise, (2005) 6 S.C.C. 95, where the Hon'ble Supreme Court held that the Revenue, having taken a conscious decision to accept a principle, cannot be "permitted to take the opposite stand in this case. If we were to permit them to do so, the law will be in a state of confusion and will place the authorities as well as the assessees in a quandary"; see also Damodar J. Malpani v. Collector of Central Excise, 2002 (146) E.L.T. 483 (S.C.). The same principle has been applied to hold that where several formations of the indirect tax administration proceed concurrently against the same assessee on inter-related transactions, the investigation must be consolidated before the authority which acted first, and the remaining formations must forward their material to it: Vivek Narsaria v. State of Jharkhand, W.P.(T) No. 4491 of 2023, judgment of the High Court of Jharkhand dated 15.01.2024 (arising under the enactments relating to goods and services tax, and relied upon for the principle). Further, an assessment, including a self-assessment, is an order which binds the Department until it is set aside in appeal or reviewed by the authority competent to do so, and it cannot be circumvented collaterally by another officer: ITC Ltd. v. Commissioner of Central Excise, Kolkata-IV, (2019) 17 S.C.C. 46; Priya Blue Industries Ltd. v. Commissioner of Customs (Preventive), (2005) 10 S.C.C. 433.</w:t>
      </w:r>
    </w:p>
    <w:p>
      <w:pPr>
        <w:ind w:left="576" w:hanging="576"/>
        <w:jc w:val="both"/>
      </w:pPr>
      <w:r>
        <w:rPr>
          <w:b w:val="0"/>
        </w:rPr>
        <w:t>21.  Even on the Respondents' own case, the goods could not be held where they are, and Section 49 of the Customs Act, 1962 furnished the only lawful course. Section 49, as substituted by Section 102 of the Finance Act, 2017, provides that where "in the case of any imported goods, whether dutiable or not, entered for home consumption, the Assistant Commissioner of Customs or Deputy Commissioner of Customs is satisfied on the application of the importer that the goods cannot be cleared within a reasonable time", or where imported dutiable goods entered for warehousing "cannot be removed for deposit in a warehouse within a reasonable time", "the goods may pending clearance or removal, as the case may be, be permitted to be stored in a public warehouse for a period not exceeding thirty days", extendable by the Principal Commissioner or Commissioner "for a further period not exceeding thirty days at a time". Circular No. 84/95-Cus. dated 25.07.1995 requires precisely this course to be adopted so that detained cargo does not lie at the port. In Exim Incorporation v. Union of India the petitioner's request for warehousing of the goods under Section 49 was, as the Division Bench recorded, "also not responded to", and the continued holding of the consignments was held to be the first of two illegalities. The Respondents here have neither cleared the goods, nor seized them under Section 110, nor passed any order under Section 49, nor answered the Petitioner's request; they have simply held them. The Petitioner is in any event entitled to a direction that, if the goods are not released, they be dealt with only in the manner the statute permits.</w:t>
      </w:r>
    </w:p>
    <w:p>
      <w:pPr>
        <w:ind w:left="576" w:hanging="576"/>
        <w:jc w:val="both"/>
      </w:pPr>
      <w:r>
        <w:rPr>
          <w:b w:val="0"/>
        </w:rPr>
        <w:t>22.  Balance of convenience and irreparable injury. The Petitioner is an MSME handling the goods of a foreign client. Continued detention attracts demurrage, ground rent and custodian charges, exposes the Petitioner to claims from its client, and damages its commercial reputation, whereas no prejudice whatsoever is caused to the Revenue by permitting stock transfer into a bonded FTWZ unit under Customs control, where the goods remain fully available for examination, testing and, if warranted, seizure.</w:t>
      </w:r>
    </w:p>
    <w:p>
      <w:pPr>
        <w:ind w:left="576" w:hanging="576"/>
        <w:jc w:val="both"/>
      </w:pPr>
      <w:r>
        <w:rPr>
          <w:b w:val="0"/>
        </w:rPr>
        <w:t>23.  No efficacious alternative remedy exists. There is no appealable order. There is nothing in writing to appeal against, which is precisely the vice complained of, and the Petitioner cannot be left remediless merely because the Respondents have chosen not to reduce their action to writing.</w:t>
      </w:r>
    </w:p>
    <w:p/>
    <w:p/>
    <w:p>
      <w:pPr>
        <w:jc w:val="both"/>
      </w:pPr>
      <w:r>
        <w:rPr>
          <w:b w:val="0"/>
        </w:rPr>
        <w:t>It is therefore most respectfully prayed that this Hon'ble Court may be pleased to grant the reliefs prayed for in the Memorandum of Writ Petition and thus render justice.</w:t>
      </w:r>
    </w:p>
    <w:p/>
    <w:p>
      <w:pPr>
        <w:jc w:val="both"/>
      </w:pPr>
      <w:r>
        <w:rPr>
          <w:b w:val="0"/>
        </w:rPr>
        <w:t>Solemnly affirmed at Chennai                                    Before me,</w:t>
      </w:r>
    </w:p>
    <w:p>
      <w:pPr>
        <w:jc w:val="both"/>
      </w:pPr>
      <w:r>
        <w:rPr>
          <w:b w:val="0"/>
        </w:rPr>
        <w:t>on this the ____ day of August, 2026</w:t>
      </w:r>
    </w:p>
    <w:p>
      <w:pPr>
        <w:jc w:val="both"/>
      </w:pPr>
      <w:r>
        <w:rPr>
          <w:b w:val="0"/>
        </w:rPr>
        <w:t>and signed his/her name in my presence.</w:t>
      </w:r>
    </w:p>
    <w:p/>
    <w:p>
      <w:pPr>
        <w:jc w:val="both"/>
      </w:pPr>
      <w:r>
        <w:rPr>
          <w:b w:val="0"/>
        </w:rPr>
        <w:t xml:space="preserve">                                                                Advocate, Chennai</w:t>
      </w:r>
    </w:p>
    <w:p>
      <w:pPr>
        <w:jc w:val="both"/>
      </w:pPr>
      <w:r>
        <w:rPr>
          <w:b w:val="0"/>
        </w:rPr>
        <w:t xml:space="preserve">            DEPONENT</w:t>
      </w:r>
    </w:p>
    <w:p>
      <w:r>
        <w:br w:type="page"/>
      </w:r>
    </w:p>
    <w:p>
      <w:pPr>
        <w:jc w:val="center"/>
      </w:pPr>
      <w:r>
        <w:rPr>
          <w:b/>
        </w:rPr>
        <w:t>IN THE HIGH COURT OF JUDICATURE AT MADRAS</w:t>
      </w:r>
    </w:p>
    <w:p>
      <w:pPr>
        <w:jc w:val="center"/>
      </w:pPr>
      <w:r>
        <w:rPr>
          <w:b w:val="0"/>
        </w:rPr>
        <w:t>(SPECIAL ORIGINAL JURISDICTION)</w:t>
      </w:r>
    </w:p>
    <w:p>
      <w:pPr>
        <w:jc w:val="center"/>
      </w:pPr>
      <w:r>
        <w:rPr>
          <w:b/>
        </w:rPr>
        <w:t>W.M.P. No. ________ of 2026</w:t>
      </w:r>
    </w:p>
    <w:p>
      <w:pPr>
        <w:jc w:val="center"/>
      </w:pPr>
      <w:r>
        <w:rPr>
          <w:b/>
        </w:rPr>
        <w:t>in</w:t>
      </w:r>
    </w:p>
    <w:p>
      <w:pPr>
        <w:jc w:val="center"/>
      </w:pPr>
      <w:r>
        <w:rPr>
          <w:b/>
        </w:rPr>
        <w:t>W.P. No. ________ of 2026</w:t>
      </w:r>
    </w:p>
    <w:p/>
    <w:p>
      <w:pPr>
        <w:jc w:val="both"/>
      </w:pPr>
      <w:r>
        <w:rPr>
          <w:b w:val="0"/>
        </w:rPr>
        <w:t>Aaapurti Renewable Energy India Private Limited,</w:t>
      </w:r>
    </w:p>
    <w:p>
      <w:pPr>
        <w:jc w:val="both"/>
      </w:pPr>
      <w:r>
        <w:rPr>
          <w:b w:val="0"/>
        </w:rPr>
        <w:t>rep. by its Authorised Signatory                                        ... Petitioner</w:t>
      </w:r>
    </w:p>
    <w:p>
      <w:pPr>
        <w:jc w:val="center"/>
      </w:pPr>
      <w:r>
        <w:rPr>
          <w:b w:val="0"/>
        </w:rPr>
        <w:t>Versus</w:t>
      </w:r>
    </w:p>
    <w:p>
      <w:pPr>
        <w:jc w:val="both"/>
      </w:pPr>
      <w:r>
        <w:rPr>
          <w:b w:val="0"/>
        </w:rPr>
        <w:t>The Additional Commissioner of Customs, SIIB, Chennai-III (Preventive Commissionerate) and others                                  ... Respondents</w:t>
      </w:r>
    </w:p>
    <w:p/>
    <w:p>
      <w:pPr>
        <w:jc w:val="center"/>
      </w:pPr>
      <w:r>
        <w:rPr>
          <w:b/>
        </w:rPr>
        <w:t>APPLICATION FOR INTERIM DIRECTION</w:t>
      </w:r>
    </w:p>
    <w:p>
      <w:pPr>
        <w:jc w:val="both"/>
      </w:pPr>
      <w:r>
        <w:rPr>
          <w:b w:val="0"/>
        </w:rPr>
        <w:t>For the reasons stated in the accompanying affidavit filed in support of the Writ Petition, which may be read as part and parcel of this application, the Petitioner most respectfully prays that this Hon'ble Court may be pleased to direct Respondent Nos. 1 and 2 to permit the stock transfer of the consignment covered by Bill of Entry No. 2875354 dated 01.08.2026 to the Petitioner's FTWZ unit at M/s NDR Infrastructure Private Limited, Nandiambakkam Port Road, Chennai, pending disposal of the above Writ Petition, on such terms as to bond and undertaking as this Hon'ble Court may deem fit, and thus render justice.</w:t>
      </w:r>
    </w:p>
    <w:p/>
    <w:p>
      <w:pPr>
        <w:jc w:val="both"/>
      </w:pPr>
      <w:r>
        <w:rPr>
          <w:b w:val="0"/>
        </w:rPr>
        <w:t>W.M.P. No. ____ of 2026: for an interim direction to Respondent No. 1 to release the Blister Copper detained on 10.08.2026 at the Petitioner's Free Trade Warehousing Zone unit into the custody of the said unit under bond and under the supervision of Respondent No. 4, or, in the alternative, to permit the said goods to remain in the said unit under seal and to be dealt with in accordance with the Standard Operating Procedure, pending disposal of the Writ Petition.</w:t>
      </w:r>
    </w:p>
    <w:p/>
    <w:p>
      <w:pPr>
        <w:jc w:val="both"/>
      </w:pPr>
      <w:r>
        <w:rPr>
          <w:b w:val="0"/>
        </w:rPr>
        <w:t>W.M.P. No. ____ of 2026: for an interim direction to Respondent No. 1 to furnish forthwith to the Petitioner the order of detention or seizure, the grounds of belief recorded in writing, the mahazar / panchanama, the inventory, the sampling memo and the authorisation for the drawal of samples on 10.08.2026, the copy of the statement recorded from Shri A. Krishnesh Raja and the record of issuance and service of the summons dated 10.08.2026, or to state in writing that no such document exists, pending disposal of the Writ Petition.</w:t>
      </w:r>
    </w:p>
    <w:p/>
    <w:p>
      <w:pPr>
        <w:jc w:val="both"/>
      </w:pPr>
      <w:r>
        <w:rPr>
          <w:b w:val="0"/>
        </w:rPr>
        <w:t>W.M.P. No. ____ of 2026: for an interim direction to the Respondents to release the said goods provisionally under Section 110A of the Customs Act, 1962 on the furnishing of a bond for the declared value and such further security as this Hon'ble Court may consider adequate, in the terms in which this Hon'ble Court granted relief in W.P. No. 29074 of 2025 (order dated 23.09.2025), pending disposal of the Writ Petition.</w:t>
      </w:r>
    </w:p>
    <w:p/>
    <w:p>
      <w:pPr>
        <w:jc w:val="both"/>
      </w:pPr>
      <w:r>
        <w:rPr>
          <w:b w:val="0"/>
        </w:rPr>
        <w:t xml:space="preserve">                                                                      Counsel for the Petitioner</w:t>
      </w:r>
    </w:p>
    <w:p>
      <w:r>
        <w:br w:type="page"/>
      </w:r>
    </w:p>
    <w:p>
      <w:pPr>
        <w:jc w:val="center"/>
      </w:pPr>
      <w:r>
        <w:rPr>
          <w:b/>
        </w:rPr>
        <w:t>IN THE HIGH COURT OF JUDICATURE AT MADRAS</w:t>
      </w:r>
    </w:p>
    <w:p>
      <w:pPr>
        <w:jc w:val="center"/>
      </w:pPr>
      <w:r>
        <w:rPr>
          <w:b w:val="0"/>
        </w:rPr>
        <w:t>(SPECIAL ORIGINAL JURISDICTION)</w:t>
      </w:r>
    </w:p>
    <w:p>
      <w:pPr>
        <w:jc w:val="center"/>
      </w:pPr>
      <w:r>
        <w:rPr>
          <w:b/>
        </w:rPr>
        <w:t>W.P. No. ________ of 2026</w:t>
      </w:r>
    </w:p>
    <w:p/>
    <w:p>
      <w:pPr>
        <w:jc w:val="both"/>
      </w:pPr>
      <w:r>
        <w:rPr>
          <w:b w:val="0"/>
        </w:rPr>
        <w:t>Aaapurti Renewable Energy India Private Limited                        ... Petitioner</w:t>
      </w:r>
    </w:p>
    <w:p>
      <w:pPr>
        <w:jc w:val="both"/>
      </w:pPr>
      <w:r>
        <w:rPr>
          <w:b w:val="0"/>
        </w:rPr>
        <w:t>Versus</w:t>
      </w:r>
    </w:p>
    <w:p>
      <w:pPr>
        <w:jc w:val="both"/>
      </w:pPr>
      <w:r>
        <w:rPr>
          <w:b w:val="0"/>
        </w:rPr>
        <w:t>The Additional Commissioner of Customs, SIIB, Chennai-III (Preventive Commissionerate) and others       ... Respondents</w:t>
      </w:r>
    </w:p>
    <w:p/>
    <w:p>
      <w:pPr>
        <w:jc w:val="center"/>
      </w:pPr>
      <w:r>
        <w:rPr>
          <w:b/>
        </w:rPr>
        <w:t>INDEX</w:t>
      </w:r>
    </w:p>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720"/>
          </w:tcPr>
          <w:p>
            <w:pPr>
              <w:spacing w:line="240" w:lineRule="auto" w:after="0"/>
              <w:jc w:val="center"/>
            </w:pPr>
            <w:r/>
            <w:r>
              <w:rPr>
                <w:b/>
                <w:sz w:val="22"/>
              </w:rPr>
              <w:t>Sl. No.</w:t>
            </w:r>
          </w:p>
        </w:tc>
        <w:tc>
          <w:tcPr>
            <w:tcW w:type="dxa" w:w="1440"/>
          </w:tcPr>
          <w:p>
            <w:pPr>
              <w:spacing w:line="240" w:lineRule="auto" w:after="0"/>
              <w:jc w:val="center"/>
            </w:pPr>
            <w:r/>
            <w:r>
              <w:rPr>
                <w:b/>
                <w:sz w:val="22"/>
              </w:rPr>
              <w:t>Date</w:t>
            </w:r>
          </w:p>
        </w:tc>
        <w:tc>
          <w:tcPr>
            <w:tcW w:type="dxa" w:w="5328"/>
          </w:tcPr>
          <w:p>
            <w:pPr>
              <w:spacing w:line="240" w:lineRule="auto" w:after="0"/>
              <w:jc w:val="center"/>
            </w:pPr>
            <w:r/>
            <w:r>
              <w:rPr>
                <w:b/>
                <w:sz w:val="22"/>
              </w:rPr>
              <w:t>Description of Documents</w:t>
            </w:r>
          </w:p>
        </w:tc>
        <w:tc>
          <w:tcPr>
            <w:tcW w:type="dxa" w:w="1152"/>
          </w:tcPr>
          <w:p>
            <w:pPr>
              <w:spacing w:line="240" w:lineRule="auto" w:after="0"/>
              <w:jc w:val="center"/>
            </w:pPr>
            <w:r/>
            <w:r>
              <w:rPr>
                <w:b/>
                <w:sz w:val="22"/>
              </w:rPr>
              <w:t>Page Nos.</w:t>
            </w:r>
          </w:p>
        </w:tc>
      </w:tr>
      <w:tr>
        <w:tc>
          <w:tcPr>
            <w:tcW w:type="dxa" w:w="720"/>
          </w:tcPr>
          <w:p>
            <w:pPr>
              <w:spacing w:line="240" w:lineRule="auto" w:after="0"/>
              <w:jc w:val="center"/>
            </w:pPr>
            <w:r/>
            <w:r>
              <w:rPr>
                <w:sz w:val="22"/>
              </w:rPr>
              <w:t>1.</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Memorandum of Writ Petition under Article 226 of the Constitution of India, with prayer</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Affidavit filed in support of the Writ Petition, duly sworn</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3.</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W.M.P. Nos. ____ of 2026 - Applications for interim directions, with affidavits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4.</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Certificate of the Advocate that the documents filed are true copies of the originals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5.</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Board Resolution of the Petitioner authorising the deponent to swear the affidavit and to file the Writ Petition</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6.</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Certificate of Incorporation, PAN and Udyam / MSME registration certificate of the Petitioner</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7.</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Importer-Exporter Code (IEC) certificate of the Petitioner</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8.</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Letter of Approval issued by the Development Commissioner, MEPZ SEZ to the Petitioner as a Free Trade Warehousing Zone unit, and renewals, if any</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9.</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Agreement / allotment letter between the Petitioner and M/s NDR Infrastructure Private Limited for space in the FTWZ</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10.</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Agreement and stock transfer documents with M/s Gemtec Jewellery FZE, UAE, and its authorisation / no-objection to the Petitioner litigating in respect of the goods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11.</w:t>
            </w:r>
          </w:p>
        </w:tc>
        <w:tc>
          <w:tcPr>
            <w:tcW w:type="dxa" w:w="1440"/>
          </w:tcPr>
          <w:p>
            <w:pPr>
              <w:spacing w:line="240" w:lineRule="auto" w:after="0"/>
              <w:jc w:val="center"/>
            </w:pPr>
            <w:r/>
            <w:r>
              <w:rPr>
                <w:sz w:val="22"/>
              </w:rPr>
              <w:t>Various</w:t>
            </w:r>
          </w:p>
        </w:tc>
        <w:tc>
          <w:tcPr>
            <w:tcW w:type="dxa" w:w="5328"/>
          </w:tcPr>
          <w:p>
            <w:pPr>
              <w:spacing w:line="240" w:lineRule="auto" w:after="0"/>
              <w:jc w:val="left"/>
            </w:pPr>
            <w:r/>
            <w:r>
              <w:rPr>
                <w:sz w:val="22"/>
              </w:rPr>
              <w:t>Tabular statement of the eighteen earlier Bills of Entry cleared between 25.11.2025 and 01.08.2026, with copies of the assessed Bills of Entry and the Out of Charge endorsements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12.</w:t>
            </w:r>
          </w:p>
        </w:tc>
        <w:tc>
          <w:tcPr>
            <w:tcW w:type="dxa" w:w="1440"/>
          </w:tcPr>
          <w:p>
            <w:pPr>
              <w:spacing w:line="240" w:lineRule="auto" w:after="0"/>
              <w:jc w:val="center"/>
            </w:pPr>
            <w:r/>
            <w:r>
              <w:rPr>
                <w:sz w:val="22"/>
              </w:rPr>
              <w:t>29.01.2026</w:t>
            </w:r>
          </w:p>
        </w:tc>
        <w:tc>
          <w:tcPr>
            <w:tcW w:type="dxa" w:w="5328"/>
          </w:tcPr>
          <w:p>
            <w:pPr>
              <w:spacing w:line="240" w:lineRule="auto" w:after="0"/>
              <w:jc w:val="left"/>
            </w:pPr>
            <w:r/>
            <w:r>
              <w:rPr>
                <w:sz w:val="22"/>
              </w:rPr>
              <w:t>Bill of Entry No. 7173539 (earlier consignment of the identical commodity)</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13.</w:t>
            </w:r>
          </w:p>
        </w:tc>
        <w:tc>
          <w:tcPr>
            <w:tcW w:type="dxa" w:w="1440"/>
          </w:tcPr>
          <w:p>
            <w:pPr>
              <w:spacing w:line="240" w:lineRule="auto" w:after="0"/>
              <w:jc w:val="center"/>
            </w:pPr>
            <w:r/>
            <w:r>
              <w:rPr>
                <w:sz w:val="22"/>
              </w:rPr>
              <w:t>05.02.2026</w:t>
            </w:r>
          </w:p>
        </w:tc>
        <w:tc>
          <w:tcPr>
            <w:tcW w:type="dxa" w:w="5328"/>
          </w:tcPr>
          <w:p>
            <w:pPr>
              <w:spacing w:line="240" w:lineRule="auto" w:after="0"/>
              <w:jc w:val="left"/>
            </w:pPr>
            <w:r/>
            <w:r>
              <w:rPr>
                <w:sz w:val="22"/>
              </w:rPr>
              <w:t>Communication of the Special Intelligence and Investigation Branch in F.No. 1162/NDR FTWZ 25-26 on drawal of six samples, with the mahazar drawn on that occasion</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14.</w:t>
            </w:r>
          </w:p>
        </w:tc>
        <w:tc>
          <w:tcPr>
            <w:tcW w:type="dxa" w:w="1440"/>
          </w:tcPr>
          <w:p>
            <w:pPr>
              <w:spacing w:line="240" w:lineRule="auto" w:after="0"/>
              <w:jc w:val="center"/>
            </w:pPr>
            <w:r/>
            <w:r>
              <w:rPr>
                <w:sz w:val="22"/>
              </w:rPr>
              <w:t>06.02.2026</w:t>
            </w:r>
          </w:p>
        </w:tc>
        <w:tc>
          <w:tcPr>
            <w:tcW w:type="dxa" w:w="5328"/>
          </w:tcPr>
          <w:p>
            <w:pPr>
              <w:spacing w:line="240" w:lineRule="auto" w:after="0"/>
              <w:jc w:val="left"/>
            </w:pPr>
            <w:r/>
            <w:r>
              <w:rPr>
                <w:sz w:val="22"/>
              </w:rPr>
              <w:t>Test Reports of the Custom House Laboratory, Chennai, Lab Nos. 9319 to 9324-MEPZ</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15.</w:t>
            </w:r>
          </w:p>
        </w:tc>
        <w:tc>
          <w:tcPr>
            <w:tcW w:type="dxa" w:w="1440"/>
          </w:tcPr>
          <w:p>
            <w:pPr>
              <w:spacing w:line="240" w:lineRule="auto" w:after="0"/>
              <w:jc w:val="center"/>
            </w:pPr>
            <w:r/>
            <w:r>
              <w:rPr>
                <w:sz w:val="22"/>
              </w:rPr>
              <w:t>25.02.2026</w:t>
            </w:r>
          </w:p>
        </w:tc>
        <w:tc>
          <w:tcPr>
            <w:tcW w:type="dxa" w:w="5328"/>
          </w:tcPr>
          <w:p>
            <w:pPr>
              <w:spacing w:line="240" w:lineRule="auto" w:after="0"/>
              <w:jc w:val="left"/>
            </w:pPr>
            <w:r/>
            <w:r>
              <w:rPr>
                <w:sz w:val="22"/>
              </w:rPr>
              <w:t>Covering letter forwarding the said Test Reports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16.</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Standard Operating Procedure "Clearance of Blister Copper under CTH 7402", F.No. MEPZ-MSM043(C)/226/2025-SEZ Chennai (e-file No. I/131691/2026), clauses 1 to 11</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17.</w:t>
            </w:r>
          </w:p>
        </w:tc>
        <w:tc>
          <w:tcPr>
            <w:tcW w:type="dxa" w:w="1440"/>
          </w:tcPr>
          <w:p>
            <w:pPr>
              <w:spacing w:line="240" w:lineRule="auto" w:after="0"/>
              <w:jc w:val="center"/>
            </w:pPr>
            <w:r/>
            <w:r>
              <w:rPr>
                <w:sz w:val="22"/>
              </w:rPr>
              <w:t>01.08.2026</w:t>
            </w:r>
          </w:p>
        </w:tc>
        <w:tc>
          <w:tcPr>
            <w:tcW w:type="dxa" w:w="5328"/>
          </w:tcPr>
          <w:p>
            <w:pPr>
              <w:spacing w:line="240" w:lineRule="auto" w:after="0"/>
              <w:jc w:val="left"/>
            </w:pPr>
            <w:r/>
            <w:r>
              <w:rPr>
                <w:sz w:val="22"/>
              </w:rPr>
              <w:t>Assessed Z-type Bill of Entry No. 2875354, all pages, with the assessment endorsement</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18.</w:t>
            </w:r>
          </w:p>
        </w:tc>
        <w:tc>
          <w:tcPr>
            <w:tcW w:type="dxa" w:w="1440"/>
          </w:tcPr>
          <w:p>
            <w:pPr>
              <w:spacing w:line="240" w:lineRule="auto" w:after="0"/>
              <w:jc w:val="center"/>
            </w:pPr>
            <w:r/>
            <w:r>
              <w:rPr>
                <w:sz w:val="22"/>
              </w:rPr>
              <w:t>01.08.2026</w:t>
            </w:r>
          </w:p>
        </w:tc>
        <w:tc>
          <w:tcPr>
            <w:tcW w:type="dxa" w:w="5328"/>
          </w:tcPr>
          <w:p>
            <w:pPr>
              <w:spacing w:line="240" w:lineRule="auto" w:after="0"/>
              <w:jc w:val="left"/>
            </w:pPr>
            <w:r/>
            <w:r>
              <w:rPr>
                <w:sz w:val="22"/>
              </w:rPr>
              <w:t>Commercial invoice, packing list, Airway Bill and Certificate of Origin in respect of the said consignment</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19.</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Pre-import assay report of the supplier filed with the said Bill of Entry, showing the composition of the Blister Copper</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20.</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Rule 29 of the Special Economic Zones Rules, 2006; the Bill of Entry (Electronic Integrated Declaration and Paperless Processing) Regulations, 2018 - Notification No. 36/2018-Customs (N.T.), G.S.R. 447(E) dated 11.05.2018; and the Department of Commerce (SEZ Division) letter No. J.16/3/2007-SEZ Vol-V dated 22.06.2024 with the clarification dated 29.06.2024</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21.</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"User Manual - SEZ Web Forms (ICEGATE)", Central Board of Indirect Taxes and Customs, dated 26.06.2023, Version 1.01; and the advisory of the Directorate General of Systems and Data Management, Central Board of Indirect Taxes and Customs, "Process of customs clearance of Imported goods from foreign country to SEZ unit in ICES"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22.</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Bond and Bank Guarantee / undertaking executed by the Unit with the Specified Officer, MEPZ SEZ</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23.</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Employment record of Shri A. Krishnesh Raja with the Petitioner and his affidavit as to the events of 10.08.2026 at the Petitioner's unit, if advised</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24.</w:t>
            </w:r>
          </w:p>
        </w:tc>
        <w:tc>
          <w:tcPr>
            <w:tcW w:type="dxa" w:w="1440"/>
          </w:tcPr>
          <w:p>
            <w:pPr>
              <w:spacing w:line="240" w:lineRule="auto" w:after="0"/>
              <w:jc w:val="center"/>
            </w:pPr>
            <w:r/>
            <w:r>
              <w:rPr>
                <w:sz w:val="22"/>
              </w:rPr>
              <w:t>10.08.2026</w:t>
            </w:r>
          </w:p>
        </w:tc>
        <w:tc>
          <w:tcPr>
            <w:tcW w:type="dxa" w:w="5328"/>
          </w:tcPr>
          <w:p>
            <w:pPr>
              <w:spacing w:line="240" w:lineRule="auto" w:after="0"/>
              <w:jc w:val="left"/>
            </w:pPr>
            <w:r/>
            <w:r>
              <w:rPr>
                <w:sz w:val="22"/>
              </w:rPr>
              <w:t>Summons issued under Section 108 of the Customs Act, 1962 to Shri A. Krishnesh Raja in F.No. GEN/INV/DR/170//2026-SIIB bearing DIN-20260873MY0000276822 by the Superintendent/Intelligence Officer, SIIB, Chennai-III (Preventive Commissionerate)</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25.</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Printout of the verification of DIN-20260873MY0000276822 on the Document Identification Number utility of the Central Board of Indirect Taxes and Customs at https://esanchar.cbic.gov.in/DIN/DINSearch, showing the date of generation as 2026-08-10 21:05:58 and the issuing office as the Chennai-III (Preventive) Customs Commissionerate</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26.</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Seizure memo / mahazar / panchanama, inventory and sampling memo in respect of the goods detained and the samples drawn at the Petitioner's FTWZ unit on 10.08.2026, if and when served, together with the statement recorded under Section 108 of the Customs Act, 1962 from Shri A. Krishnesh Raja</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27.</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Letter of the Petitioner calling upon Respondent No. 1 to furnish the order of seizure, the grounds of belief and the mahazar, and the application for provisional release under Section 110A of the Customs Act, 1962, with proof of despatch</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28.</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Stock records, warehousing registers and the Specified Officer's records of the goods lying in the Petitioner's FTWZ unit on the date of the seizure</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29.</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Sections 21, 22 and 51 of the Special Economic Zones Act, 2005 and S.O. 2666(E) and S.O. 2667(E) both dated 05.08.2016 of the Ministry of Commerce and Industry, Department of Commerce (SEZ Division)</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30.</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Vakalatnama executed by the Authorised Signatory of the Petitioner in favour of the Advocate, with the seal of the company</w:t>
            </w:r>
          </w:p>
        </w:tc>
        <w:tc>
          <w:tcPr>
            <w:tcW w:type="dxa" w:w="1152"/>
          </w:tcPr>
          <w:p>
            <w:pPr>
              <w:spacing w:line="240" w:lineRule="auto" w:after="0"/>
              <w:jc w:val="center"/>
            </w:pPr>
            <w:r/>
            <w:r>
              <w:rPr>
                <w:sz w:val="22"/>
              </w:rPr>
            </w:r>
          </w:p>
        </w:tc>
      </w:tr>
    </w:tbl>
    <w:p/>
    <w:p/>
    <w:p>
      <w:pPr>
        <w:jc w:val="both"/>
      </w:pPr>
      <w:r>
        <w:rPr>
          <w:b w:val="0"/>
        </w:rPr>
        <w:t>Note: Page numbers are to be filled in by Counsel after pagination. The documents forming the typed set are to be arranged in chronological order and consecutively page-numbered.</w:t>
      </w:r>
    </w:p>
    <w:p/>
    <w:p>
      <w:pPr>
        <w:jc w:val="both"/>
      </w:pPr>
      <w:r>
        <w:rPr>
          <w:b w:val="0"/>
        </w:rPr>
        <w:t xml:space="preserve">                                                                      Counsel for the Petitioner</w:t>
      </w:r>
    </w:p>
    <w:p>
      <w:r>
        <w:br w:type="page"/>
      </w:r>
    </w:p>
    <w:p>
      <w:pPr>
        <w:jc w:val="center"/>
      </w:pPr>
      <w:r>
        <w:rPr>
          <w:b/>
        </w:rPr>
        <w:t>REGISTRY AND PROCEDURAL REQUIREMENTS FOR FILING</w:t>
      </w:r>
    </w:p>
    <w:p/>
    <w:tbl>
      <w:tblPr>
        <w:tblStyle w:val="TableGrid"/>
        <w:tblW w:type="auto" w:w="0"/>
        <w:tblLayout w:type="fixed"/>
        <w:tblLook w:firstColumn="1" w:firstRow="1" w:lastColumn="0" w:lastRow="0" w:noHBand="0" w:noVBand="1" w:val="04A0"/>
      </w:tblPr>
      <w:tblGrid>
        <w:gridCol w:w="2880"/>
        <w:gridCol w:w="2880"/>
        <w:gridCol w:w="2880"/>
      </w:tblGrid>
      <w:tr>
        <w:tc>
          <w:tcPr>
            <w:tcW w:type="dxa" w:w="720"/>
          </w:tcPr>
          <w:p>
            <w:pPr>
              <w:spacing w:line="240" w:lineRule="auto" w:after="0"/>
              <w:jc w:val="center"/>
            </w:pPr>
            <w:r/>
            <w:r>
              <w:rPr>
                <w:b/>
                <w:sz w:val="22"/>
              </w:rPr>
              <w:t>Sl. No.</w:t>
            </w:r>
          </w:p>
        </w:tc>
        <w:tc>
          <w:tcPr>
            <w:tcW w:type="dxa" w:w="3744"/>
          </w:tcPr>
          <w:p>
            <w:pPr>
              <w:spacing w:line="240" w:lineRule="auto" w:after="0"/>
              <w:jc w:val="center"/>
            </w:pPr>
            <w:r/>
            <w:r>
              <w:rPr>
                <w:b/>
                <w:sz w:val="22"/>
              </w:rPr>
              <w:t>Requirement</w:t>
            </w:r>
          </w:p>
        </w:tc>
        <w:tc>
          <w:tcPr>
            <w:tcW w:type="dxa" w:w="4176"/>
          </w:tcPr>
          <w:p>
            <w:pPr>
              <w:spacing w:line="240" w:lineRule="auto" w:after="0"/>
              <w:jc w:val="center"/>
            </w:pPr>
            <w:r/>
            <w:r>
              <w:rPr>
                <w:b/>
                <w:sz w:val="22"/>
              </w:rPr>
              <w:t>Remarks</w:t>
            </w:r>
          </w:p>
        </w:tc>
      </w:tr>
      <w:tr>
        <w:tc>
          <w:tcPr>
            <w:tcW w:type="dxa" w:w="720"/>
          </w:tcPr>
          <w:p>
            <w:pPr>
              <w:spacing w:line="240" w:lineRule="auto" w:after="0"/>
              <w:jc w:val="center"/>
            </w:pPr>
            <w:r/>
            <w:r>
              <w:rPr>
                <w:sz w:val="22"/>
              </w:rPr>
              <w:t>1.</w:t>
            </w:r>
          </w:p>
        </w:tc>
        <w:tc>
          <w:tcPr>
            <w:tcW w:type="dxa" w:w="3744"/>
          </w:tcPr>
          <w:p>
            <w:pPr>
              <w:spacing w:line="240" w:lineRule="auto" w:after="0"/>
              <w:jc w:val="center"/>
            </w:pPr>
            <w:r/>
            <w:r>
              <w:rPr>
                <w:sz w:val="22"/>
              </w:rPr>
              <w:t>Vakalatnama</w:t>
            </w:r>
          </w:p>
        </w:tc>
        <w:tc>
          <w:tcPr>
            <w:tcW w:type="dxa" w:w="4176"/>
          </w:tcPr>
          <w:p>
            <w:pPr>
              <w:spacing w:line="240" w:lineRule="auto" w:after="0"/>
              <w:jc w:val="center"/>
            </w:pPr>
            <w:r/>
            <w:r>
              <w:rPr>
                <w:sz w:val="22"/>
              </w:rPr>
              <w:t>Executed by the Authorised Signatory with the seal of the company, accepted by the Advocate, bearing the Bar Council enrolment number and the welfare stamp</w:t>
            </w:r>
          </w:p>
        </w:tc>
      </w:tr>
      <w:tr>
        <w:tc>
          <w:tcPr>
            <w:tcW w:type="dxa" w:w="720"/>
          </w:tcPr>
          <w:p>
            <w:pPr>
              <w:spacing w:line="240" w:lineRule="auto" w:after="0"/>
              <w:jc w:val="center"/>
            </w:pPr>
            <w:r/>
            <w:r>
              <w:rPr>
                <w:sz w:val="22"/>
              </w:rPr>
              <w:t>2.</w:t>
            </w:r>
          </w:p>
        </w:tc>
        <w:tc>
          <w:tcPr>
            <w:tcW w:type="dxa" w:w="3744"/>
          </w:tcPr>
          <w:p>
            <w:pPr>
              <w:spacing w:line="240" w:lineRule="auto" w:after="0"/>
              <w:jc w:val="center"/>
            </w:pPr>
            <w:r/>
            <w:r>
              <w:rPr>
                <w:sz w:val="22"/>
              </w:rPr>
              <w:t>Memorandum of Writ Petition</w:t>
            </w:r>
          </w:p>
        </w:tc>
        <w:tc>
          <w:tcPr>
            <w:tcW w:type="dxa" w:w="4176"/>
          </w:tcPr>
          <w:p>
            <w:pPr>
              <w:spacing w:line="240" w:lineRule="auto" w:after="0"/>
              <w:jc w:val="center"/>
            </w:pPr>
            <w:r/>
            <w:r>
              <w:rPr>
                <w:sz w:val="22"/>
              </w:rPr>
              <w:t>With cause title, filed in duplicate</w:t>
            </w:r>
          </w:p>
        </w:tc>
      </w:tr>
      <w:tr>
        <w:tc>
          <w:tcPr>
            <w:tcW w:type="dxa" w:w="720"/>
          </w:tcPr>
          <w:p>
            <w:pPr>
              <w:spacing w:line="240" w:lineRule="auto" w:after="0"/>
              <w:jc w:val="center"/>
            </w:pPr>
            <w:r/>
            <w:r>
              <w:rPr>
                <w:sz w:val="22"/>
              </w:rPr>
              <w:t>3.</w:t>
            </w:r>
          </w:p>
        </w:tc>
        <w:tc>
          <w:tcPr>
            <w:tcW w:type="dxa" w:w="3744"/>
          </w:tcPr>
          <w:p>
            <w:pPr>
              <w:spacing w:line="240" w:lineRule="auto" w:after="0"/>
              <w:jc w:val="center"/>
            </w:pPr>
            <w:r/>
            <w:r>
              <w:rPr>
                <w:sz w:val="22"/>
              </w:rPr>
              <w:t>Affidavit in support</w:t>
            </w:r>
          </w:p>
        </w:tc>
        <w:tc>
          <w:tcPr>
            <w:tcW w:type="dxa" w:w="4176"/>
          </w:tcPr>
          <w:p>
            <w:pPr>
              <w:spacing w:line="240" w:lineRule="auto" w:after="0"/>
              <w:jc w:val="center"/>
            </w:pPr>
            <w:r/>
            <w:r>
              <w:rPr>
                <w:sz w:val="22"/>
              </w:rPr>
              <w:t>Sworn before an Advocate, Notary or Oath Commissioner, with the deponent's authority annexed</w:t>
            </w:r>
          </w:p>
        </w:tc>
      </w:tr>
      <w:tr>
        <w:tc>
          <w:tcPr>
            <w:tcW w:type="dxa" w:w="720"/>
          </w:tcPr>
          <w:p>
            <w:pPr>
              <w:spacing w:line="240" w:lineRule="auto" w:after="0"/>
              <w:jc w:val="center"/>
            </w:pPr>
            <w:r/>
            <w:r>
              <w:rPr>
                <w:sz w:val="22"/>
              </w:rPr>
              <w:t>4.</w:t>
            </w:r>
          </w:p>
        </w:tc>
        <w:tc>
          <w:tcPr>
            <w:tcW w:type="dxa" w:w="3744"/>
          </w:tcPr>
          <w:p>
            <w:pPr>
              <w:spacing w:line="240" w:lineRule="auto" w:after="0"/>
              <w:jc w:val="center"/>
            </w:pPr>
            <w:r/>
            <w:r>
              <w:rPr>
                <w:sz w:val="22"/>
              </w:rPr>
              <w:t>Board Resolution</w:t>
            </w:r>
          </w:p>
        </w:tc>
        <w:tc>
          <w:tcPr>
            <w:tcW w:type="dxa" w:w="4176"/>
          </w:tcPr>
          <w:p>
            <w:pPr>
              <w:spacing w:line="240" w:lineRule="auto" w:after="0"/>
              <w:jc w:val="center"/>
            </w:pPr>
            <w:r/>
            <w:r>
              <w:rPr>
                <w:sz w:val="22"/>
              </w:rPr>
              <w:t>Mandatory; the Registry will not number the Writ Petition without it</w:t>
            </w:r>
          </w:p>
        </w:tc>
      </w:tr>
      <w:tr>
        <w:tc>
          <w:tcPr>
            <w:tcW w:type="dxa" w:w="720"/>
          </w:tcPr>
          <w:p>
            <w:pPr>
              <w:spacing w:line="240" w:lineRule="auto" w:after="0"/>
              <w:jc w:val="center"/>
            </w:pPr>
            <w:r/>
            <w:r>
              <w:rPr>
                <w:sz w:val="22"/>
              </w:rPr>
              <w:t>5.</w:t>
            </w:r>
          </w:p>
        </w:tc>
        <w:tc>
          <w:tcPr>
            <w:tcW w:type="dxa" w:w="3744"/>
          </w:tcPr>
          <w:p>
            <w:pPr>
              <w:spacing w:line="240" w:lineRule="auto" w:after="0"/>
              <w:jc w:val="center"/>
            </w:pPr>
            <w:r/>
            <w:r>
              <w:rPr>
                <w:sz w:val="22"/>
              </w:rPr>
              <w:t>Index and typed set of papers</w:t>
            </w:r>
          </w:p>
        </w:tc>
        <w:tc>
          <w:tcPr>
            <w:tcW w:type="dxa" w:w="4176"/>
          </w:tcPr>
          <w:p>
            <w:pPr>
              <w:spacing w:line="240" w:lineRule="auto" w:after="0"/>
              <w:jc w:val="center"/>
            </w:pPr>
            <w:r/>
            <w:r>
              <w:rPr>
                <w:sz w:val="22"/>
              </w:rPr>
              <w:t>Chronological order, consecutively page-numbered, with the Advocate's certificate that the copies are true copies of the originals</w:t>
            </w:r>
          </w:p>
        </w:tc>
      </w:tr>
      <w:tr>
        <w:tc>
          <w:tcPr>
            <w:tcW w:type="dxa" w:w="720"/>
          </w:tcPr>
          <w:p>
            <w:pPr>
              <w:spacing w:line="240" w:lineRule="auto" w:after="0"/>
              <w:jc w:val="center"/>
            </w:pPr>
            <w:r/>
            <w:r>
              <w:rPr>
                <w:sz w:val="22"/>
              </w:rPr>
              <w:t>6.</w:t>
            </w:r>
          </w:p>
        </w:tc>
        <w:tc>
          <w:tcPr>
            <w:tcW w:type="dxa" w:w="3744"/>
          </w:tcPr>
          <w:p>
            <w:pPr>
              <w:spacing w:line="240" w:lineRule="auto" w:after="0"/>
              <w:jc w:val="center"/>
            </w:pPr>
            <w:r/>
            <w:r>
              <w:rPr>
                <w:sz w:val="22"/>
              </w:rPr>
              <w:t>Court fee</w:t>
            </w:r>
          </w:p>
        </w:tc>
        <w:tc>
          <w:tcPr>
            <w:tcW w:type="dxa" w:w="4176"/>
          </w:tcPr>
          <w:p>
            <w:pPr>
              <w:spacing w:line="240" w:lineRule="auto" w:after="0"/>
              <w:jc w:val="center"/>
            </w:pPr>
            <w:r/>
            <w:r>
              <w:rPr>
                <w:sz w:val="22"/>
              </w:rPr>
              <w:t>As applicable on the Writ Petition and on each Miscellaneous Petition</w:t>
            </w:r>
          </w:p>
        </w:tc>
      </w:tr>
      <w:tr>
        <w:tc>
          <w:tcPr>
            <w:tcW w:type="dxa" w:w="720"/>
          </w:tcPr>
          <w:p>
            <w:pPr>
              <w:spacing w:line="240" w:lineRule="auto" w:after="0"/>
              <w:jc w:val="center"/>
            </w:pPr>
            <w:r/>
            <w:r>
              <w:rPr>
                <w:sz w:val="22"/>
              </w:rPr>
              <w:t>7.</w:t>
            </w:r>
          </w:p>
        </w:tc>
        <w:tc>
          <w:tcPr>
            <w:tcW w:type="dxa" w:w="3744"/>
          </w:tcPr>
          <w:p>
            <w:pPr>
              <w:spacing w:line="240" w:lineRule="auto" w:after="0"/>
              <w:jc w:val="center"/>
            </w:pPr>
            <w:r/>
            <w:r>
              <w:rPr>
                <w:sz w:val="22"/>
              </w:rPr>
              <w:t>Statement as to earlier proceedings</w:t>
            </w:r>
          </w:p>
        </w:tc>
        <w:tc>
          <w:tcPr>
            <w:tcW w:type="dxa" w:w="4176"/>
          </w:tcPr>
          <w:p>
            <w:pPr>
              <w:spacing w:line="240" w:lineRule="auto" w:after="0"/>
              <w:jc w:val="center"/>
            </w:pPr>
            <w:r/>
            <w:r>
              <w:rPr>
                <w:sz w:val="22"/>
              </w:rPr>
              <w:t>Whether any similar Writ Petition has been filed earlier, as required by the Writ Rules of this Hon'ble Court, and whether any caveat has been received</w:t>
            </w:r>
          </w:p>
        </w:tc>
      </w:tr>
      <w:tr>
        <w:tc>
          <w:tcPr>
            <w:tcW w:type="dxa" w:w="720"/>
          </w:tcPr>
          <w:p>
            <w:pPr>
              <w:spacing w:line="240" w:lineRule="auto" w:after="0"/>
              <w:jc w:val="center"/>
            </w:pPr>
            <w:r/>
            <w:r>
              <w:rPr>
                <w:sz w:val="22"/>
              </w:rPr>
              <w:t>8.</w:t>
            </w:r>
          </w:p>
        </w:tc>
        <w:tc>
          <w:tcPr>
            <w:tcW w:type="dxa" w:w="3744"/>
          </w:tcPr>
          <w:p>
            <w:pPr>
              <w:spacing w:line="240" w:lineRule="auto" w:after="0"/>
              <w:jc w:val="center"/>
            </w:pPr>
            <w:r/>
            <w:r>
              <w:rPr>
                <w:sz w:val="22"/>
              </w:rPr>
              <w:t>Advance notice</w:t>
            </w:r>
          </w:p>
        </w:tc>
        <w:tc>
          <w:tcPr>
            <w:tcW w:type="dxa" w:w="4176"/>
          </w:tcPr>
          <w:p>
            <w:pPr>
              <w:spacing w:line="240" w:lineRule="auto" w:after="0"/>
              <w:jc w:val="center"/>
            </w:pPr>
            <w:r/>
            <w:r>
              <w:rPr>
                <w:sz w:val="22"/>
              </w:rPr>
              <w:t>Proof of service of the advance copy on the Central Government Standing Counsel / Senior Panel Counsel for Customs before mentioning for urgent listing</w:t>
            </w:r>
          </w:p>
        </w:tc>
      </w:tr>
      <w:tr>
        <w:tc>
          <w:tcPr>
            <w:tcW w:type="dxa" w:w="720"/>
          </w:tcPr>
          <w:p>
            <w:pPr>
              <w:spacing w:line="240" w:lineRule="auto" w:after="0"/>
              <w:jc w:val="center"/>
            </w:pPr>
            <w:r/>
            <w:r>
              <w:rPr>
                <w:sz w:val="22"/>
              </w:rPr>
              <w:t>9.</w:t>
            </w:r>
          </w:p>
        </w:tc>
        <w:tc>
          <w:tcPr>
            <w:tcW w:type="dxa" w:w="3744"/>
          </w:tcPr>
          <w:p>
            <w:pPr>
              <w:spacing w:line="240" w:lineRule="auto" w:after="0"/>
              <w:jc w:val="center"/>
            </w:pPr>
            <w:r/>
            <w:r>
              <w:rPr>
                <w:sz w:val="22"/>
              </w:rPr>
              <w:t>E-filing particulars</w:t>
            </w:r>
          </w:p>
        </w:tc>
        <w:tc>
          <w:tcPr>
            <w:tcW w:type="dxa" w:w="4176"/>
          </w:tcPr>
          <w:p>
            <w:pPr>
              <w:spacing w:line="240" w:lineRule="auto" w:after="0"/>
              <w:jc w:val="center"/>
            </w:pPr>
            <w:r/>
            <w:r>
              <w:rPr>
                <w:sz w:val="22"/>
              </w:rPr>
              <w:t>Details of the authorised representative and the e-mail address and mobile number for the Registry's e-filing portal</w:t>
            </w:r>
          </w:p>
        </w:tc>
      </w:tr>
    </w:tbl>
    <w:p/>
    <w:p/>
    <w:p>
      <w:pPr>
        <w:jc w:val="center"/>
      </w:pPr>
      <w:r>
        <w:rPr>
          <w:b/>
        </w:rPr>
        <w:t>DOCUMENTS TO BE OBTAINED BEFORE FILING</w:t>
      </w:r>
    </w:p>
    <w:p/>
    <w:tbl>
      <w:tblPr>
        <w:tblStyle w:val="TableGrid"/>
        <w:tblW w:type="auto" w:w="0"/>
        <w:tblLayout w:type="fixed"/>
        <w:tblLook w:firstColumn="1" w:firstRow="1" w:lastColumn="0" w:lastRow="0" w:noHBand="0" w:noVBand="1" w:val="04A0"/>
      </w:tblPr>
      <w:tblGrid>
        <w:gridCol w:w="2880"/>
        <w:gridCol w:w="2880"/>
        <w:gridCol w:w="2880"/>
      </w:tblGrid>
      <w:tr>
        <w:tc>
          <w:tcPr>
            <w:tcW w:type="dxa" w:w="720"/>
          </w:tcPr>
          <w:p>
            <w:pPr>
              <w:spacing w:line="240" w:lineRule="auto" w:after="0"/>
              <w:jc w:val="center"/>
            </w:pPr>
            <w:r/>
            <w:r>
              <w:rPr>
                <w:b/>
                <w:sz w:val="22"/>
              </w:rPr>
              <w:t>Sl. No.</w:t>
            </w:r>
          </w:p>
        </w:tc>
        <w:tc>
          <w:tcPr>
            <w:tcW w:type="dxa" w:w="3744"/>
          </w:tcPr>
          <w:p>
            <w:pPr>
              <w:spacing w:line="240" w:lineRule="auto" w:after="0"/>
              <w:jc w:val="center"/>
            </w:pPr>
            <w:r/>
            <w:r>
              <w:rPr>
                <w:b/>
                <w:sz w:val="22"/>
              </w:rPr>
              <w:t>Document</w:t>
            </w:r>
          </w:p>
        </w:tc>
        <w:tc>
          <w:tcPr>
            <w:tcW w:type="dxa" w:w="4176"/>
          </w:tcPr>
          <w:p>
            <w:pPr>
              <w:spacing w:line="240" w:lineRule="auto" w:after="0"/>
              <w:jc w:val="center"/>
            </w:pPr>
            <w:r/>
            <w:r>
              <w:rPr>
                <w:b/>
                <w:sz w:val="22"/>
              </w:rPr>
              <w:t>Action / Purpose</w:t>
            </w:r>
          </w:p>
        </w:tc>
      </w:tr>
      <w:tr>
        <w:tc>
          <w:tcPr>
            <w:tcW w:type="dxa" w:w="720"/>
          </w:tcPr>
          <w:p>
            <w:pPr>
              <w:spacing w:line="240" w:lineRule="auto" w:after="0"/>
              <w:jc w:val="center"/>
            </w:pPr>
            <w:r/>
            <w:r>
              <w:rPr>
                <w:sz w:val="22"/>
              </w:rPr>
              <w:t>1.</w:t>
            </w:r>
          </w:p>
        </w:tc>
        <w:tc>
          <w:tcPr>
            <w:tcW w:type="dxa" w:w="3744"/>
          </w:tcPr>
          <w:p>
            <w:pPr>
              <w:spacing w:line="240" w:lineRule="auto" w:after="0"/>
              <w:jc w:val="center"/>
            </w:pPr>
            <w:r/>
            <w:r>
              <w:rPr>
                <w:sz w:val="22"/>
              </w:rPr>
              <w:t>Order of detention or seizure, grounds of belief in writing, mahazar, inventory, sampling memo and authorisation for drawal of samples in respect of the action at the FTWZ unit on 10.08.2026, and a copy of the statement of Shri A. Krishnesh Raja</w:t>
            </w:r>
          </w:p>
        </w:tc>
        <w:tc>
          <w:tcPr>
            <w:tcW w:type="dxa" w:w="4176"/>
          </w:tcPr>
          <w:p>
            <w:pPr>
              <w:spacing w:line="240" w:lineRule="auto" w:after="0"/>
              <w:jc w:val="center"/>
            </w:pPr>
            <w:r/>
            <w:r>
              <w:rPr>
                <w:sz w:val="22"/>
              </w:rPr>
              <w:t>To be demanded in writing immediately; the demand and the non-supply are themselves the cause of action, and the documents are to be filed by way of an additional typed set if served after filing</w:t>
            </w:r>
          </w:p>
        </w:tc>
      </w:tr>
      <w:tr>
        <w:tc>
          <w:tcPr>
            <w:tcW w:type="dxa" w:w="720"/>
          </w:tcPr>
          <w:p>
            <w:pPr>
              <w:spacing w:line="240" w:lineRule="auto" w:after="0"/>
              <w:jc w:val="center"/>
            </w:pPr>
            <w:r/>
            <w:r>
              <w:rPr>
                <w:sz w:val="22"/>
              </w:rPr>
              <w:t>2.</w:t>
            </w:r>
          </w:p>
        </w:tc>
        <w:tc>
          <w:tcPr>
            <w:tcW w:type="dxa" w:w="3744"/>
          </w:tcPr>
          <w:p>
            <w:pPr>
              <w:spacing w:line="240" w:lineRule="auto" w:after="0"/>
              <w:jc w:val="center"/>
            </w:pPr>
            <w:r/>
            <w:r>
              <w:rPr>
                <w:sz w:val="22"/>
              </w:rPr>
              <w:t>Record of the prior intimation to, or prior approval of, the Development Commissioner under Section 22 of the SEZ Act, 2005</w:t>
            </w:r>
          </w:p>
        </w:tc>
        <w:tc>
          <w:tcPr>
            <w:tcW w:type="dxa" w:w="4176"/>
          </w:tcPr>
          <w:p>
            <w:pPr>
              <w:spacing w:line="240" w:lineRule="auto" w:after="0"/>
              <w:jc w:val="center"/>
            </w:pPr>
            <w:r/>
            <w:r>
              <w:rPr>
                <w:sz w:val="22"/>
              </w:rPr>
              <w:t>To be sought from the office of the Development Commissioner, MEPZ SEZ; its absence establishes the jurisdictional ground</w:t>
            </w:r>
          </w:p>
        </w:tc>
      </w:tr>
      <w:tr>
        <w:tc>
          <w:tcPr>
            <w:tcW w:type="dxa" w:w="720"/>
          </w:tcPr>
          <w:p>
            <w:pPr>
              <w:spacing w:line="240" w:lineRule="auto" w:after="0"/>
              <w:jc w:val="center"/>
            </w:pPr>
            <w:r/>
            <w:r>
              <w:rPr>
                <w:sz w:val="22"/>
              </w:rPr>
              <w:t>3.</w:t>
            </w:r>
          </w:p>
        </w:tc>
        <w:tc>
          <w:tcPr>
            <w:tcW w:type="dxa" w:w="3744"/>
          </w:tcPr>
          <w:p>
            <w:pPr>
              <w:spacing w:line="240" w:lineRule="auto" w:after="0"/>
              <w:jc w:val="center"/>
            </w:pPr>
            <w:r/>
            <w:r>
              <w:rPr>
                <w:sz w:val="22"/>
              </w:rPr>
              <w:t>Copy of the statement recorded on 10.08.2026 from Shri A. Krishnesh Raja, and the record of issuance and service of the summons dated 10.08.2026 and of the generation of DIN-20260873MY0000276822</w:t>
            </w:r>
          </w:p>
        </w:tc>
        <w:tc>
          <w:tcPr>
            <w:tcW w:type="dxa" w:w="4176"/>
          </w:tcPr>
          <w:p>
            <w:pPr>
              <w:spacing w:line="240" w:lineRule="auto" w:after="0"/>
              <w:jc w:val="center"/>
            </w:pPr>
            <w:r/>
            <w:r>
              <w:rPr>
                <w:sz w:val="22"/>
              </w:rPr>
              <w:t>To be demanded in writing forthwith; the timing disclosed by the Document Identification Number utility is to be put to the Respondents</w:t>
            </w:r>
          </w:p>
        </w:tc>
      </w:tr>
      <w:tr>
        <w:tc>
          <w:tcPr>
            <w:tcW w:type="dxa" w:w="720"/>
          </w:tcPr>
          <w:p>
            <w:pPr>
              <w:spacing w:line="240" w:lineRule="auto" w:after="0"/>
              <w:jc w:val="center"/>
            </w:pPr>
            <w:r/>
            <w:r>
              <w:rPr>
                <w:sz w:val="22"/>
              </w:rPr>
              <w:t>4.</w:t>
            </w:r>
          </w:p>
        </w:tc>
        <w:tc>
          <w:tcPr>
            <w:tcW w:type="dxa" w:w="3744"/>
          </w:tcPr>
          <w:p>
            <w:pPr>
              <w:spacing w:line="240" w:lineRule="auto" w:after="0"/>
              <w:jc w:val="center"/>
            </w:pPr>
            <w:r/>
            <w:r>
              <w:rPr>
                <w:sz w:val="22"/>
              </w:rPr>
              <w:t>Application for provisional release under Section 110A of the Customs Act, 1962</w:t>
            </w:r>
          </w:p>
        </w:tc>
        <w:tc>
          <w:tcPr>
            <w:tcW w:type="dxa" w:w="4176"/>
          </w:tcPr>
          <w:p>
            <w:pPr>
              <w:spacing w:line="240" w:lineRule="auto" w:after="0"/>
              <w:jc w:val="center"/>
            </w:pPr>
            <w:r/>
            <w:r>
              <w:rPr>
                <w:sz w:val="22"/>
              </w:rPr>
              <w:t>To be filed with Respondent No. 1 before the Writ Petition is moved, so that the silence or refusal is on record</w:t>
            </w:r>
          </w:p>
        </w:tc>
      </w:tr>
      <w:tr>
        <w:tc>
          <w:tcPr>
            <w:tcW w:type="dxa" w:w="720"/>
          </w:tcPr>
          <w:p>
            <w:pPr>
              <w:spacing w:line="240" w:lineRule="auto" w:after="0"/>
              <w:jc w:val="center"/>
            </w:pPr>
            <w:r/>
            <w:r>
              <w:rPr>
                <w:sz w:val="22"/>
              </w:rPr>
              <w:t>5.</w:t>
            </w:r>
          </w:p>
        </w:tc>
        <w:tc>
          <w:tcPr>
            <w:tcW w:type="dxa" w:w="3744"/>
          </w:tcPr>
          <w:p>
            <w:pPr>
              <w:spacing w:line="240" w:lineRule="auto" w:after="0"/>
              <w:jc w:val="center"/>
            </w:pPr>
            <w:r/>
            <w:r>
              <w:rPr>
                <w:sz w:val="22"/>
              </w:rPr>
              <w:t>Dated office copy of the Standard Operating Procedure, and the IRMS instruction issued under clause 11 thereof</w:t>
            </w:r>
          </w:p>
        </w:tc>
        <w:tc>
          <w:tcPr>
            <w:tcW w:type="dxa" w:w="4176"/>
          </w:tcPr>
          <w:p>
            <w:pPr>
              <w:spacing w:line="240" w:lineRule="auto" w:after="0"/>
              <w:jc w:val="center"/>
            </w:pPr>
            <w:r/>
            <w:r>
              <w:rPr>
                <w:sz w:val="22"/>
              </w:rPr>
              <w:t>The copy available with the Petitioner bears the file number and e-file number but no date on its face</w:t>
            </w:r>
          </w:p>
        </w:tc>
      </w:tr>
      <w:tr>
        <w:tc>
          <w:tcPr>
            <w:tcW w:type="dxa" w:w="720"/>
          </w:tcPr>
          <w:p>
            <w:pPr>
              <w:spacing w:line="240" w:lineRule="auto" w:after="0"/>
              <w:jc w:val="center"/>
            </w:pPr>
            <w:r/>
            <w:r>
              <w:rPr>
                <w:sz w:val="22"/>
              </w:rPr>
              <w:t>6.</w:t>
            </w:r>
          </w:p>
        </w:tc>
        <w:tc>
          <w:tcPr>
            <w:tcW w:type="dxa" w:w="3744"/>
          </w:tcPr>
          <w:p>
            <w:pPr>
              <w:spacing w:line="240" w:lineRule="auto" w:after="0"/>
              <w:jc w:val="center"/>
            </w:pPr>
            <w:r/>
            <w:r>
              <w:rPr>
                <w:sz w:val="22"/>
              </w:rPr>
              <w:t>Chennai Customs Sampling Procedure / Standing Instructions referred to in clause 4(c) of the Standard Operating Procedure</w:t>
            </w:r>
          </w:p>
        </w:tc>
        <w:tc>
          <w:tcPr>
            <w:tcW w:type="dxa" w:w="4176"/>
          </w:tcPr>
          <w:p>
            <w:pPr>
              <w:spacing w:line="240" w:lineRule="auto" w:after="0"/>
              <w:jc w:val="center"/>
            </w:pPr>
            <w:r/>
            <w:r>
              <w:rPr>
                <w:sz w:val="22"/>
              </w:rPr>
              <w:t>To demonstrate the manner in which sampling was required to be carried out</w:t>
            </w:r>
          </w:p>
        </w:tc>
      </w:tr>
      <w:tr>
        <w:tc>
          <w:tcPr>
            <w:tcW w:type="dxa" w:w="720"/>
          </w:tcPr>
          <w:p>
            <w:pPr>
              <w:spacing w:line="240" w:lineRule="auto" w:after="0"/>
              <w:jc w:val="center"/>
            </w:pPr>
            <w:r/>
            <w:r>
              <w:rPr>
                <w:sz w:val="22"/>
              </w:rPr>
              <w:t>7.</w:t>
            </w:r>
          </w:p>
        </w:tc>
        <w:tc>
          <w:tcPr>
            <w:tcW w:type="dxa" w:w="3744"/>
          </w:tcPr>
          <w:p>
            <w:pPr>
              <w:spacing w:line="240" w:lineRule="auto" w:after="0"/>
              <w:jc w:val="center"/>
            </w:pPr>
            <w:r/>
            <w:r>
              <w:rPr>
                <w:sz w:val="22"/>
              </w:rPr>
              <w:t>Instruction No. 27/2024-Customs dated 01.11.2024 (F. No. 394/39(14)/2018-Commr.(Inv.-Cus.))</w:t>
            </w:r>
          </w:p>
        </w:tc>
        <w:tc>
          <w:tcPr>
            <w:tcW w:type="dxa" w:w="4176"/>
          </w:tcPr>
          <w:p>
            <w:pPr>
              <w:spacing w:line="240" w:lineRule="auto" w:after="0"/>
              <w:jc w:val="center"/>
            </w:pPr>
            <w:r/>
            <w:r>
              <w:rPr>
                <w:sz w:val="22"/>
              </w:rPr>
              <w:t>Board's guidelines on investigation in commercial intelligence cases - Commissioner's approval, DIGIT/DIN check for an existing investigation on the same entity and issue, reasoned approval for summons, upload of statement and mahazar within four working days</w:t>
            </w:r>
          </w:p>
        </w:tc>
      </w:tr>
      <w:tr>
        <w:tc>
          <w:tcPr>
            <w:tcW w:type="dxa" w:w="720"/>
          </w:tcPr>
          <w:p>
            <w:pPr>
              <w:spacing w:line="240" w:lineRule="auto" w:after="0"/>
              <w:jc w:val="center"/>
            </w:pPr>
            <w:r/>
            <w:r>
              <w:rPr>
                <w:sz w:val="22"/>
              </w:rPr>
              <w:t>8.</w:t>
            </w:r>
          </w:p>
        </w:tc>
        <w:tc>
          <w:tcPr>
            <w:tcW w:type="dxa" w:w="3744"/>
          </w:tcPr>
          <w:p>
            <w:pPr>
              <w:spacing w:line="240" w:lineRule="auto" w:after="0"/>
              <w:jc w:val="center"/>
            </w:pPr>
            <w:r/>
            <w:r>
              <w:rPr>
                <w:sz w:val="22"/>
              </w:rPr>
              <w:t>Circular No. 01/2011-Cus. dated 04.01.2011 and Circular No. 84/95-Cus. dated 25.07.1995</w:t>
            </w:r>
          </w:p>
        </w:tc>
        <w:tc>
          <w:tcPr>
            <w:tcW w:type="dxa" w:w="4176"/>
          </w:tcPr>
          <w:p>
            <w:pPr>
              <w:spacing w:line="240" w:lineRule="auto" w:after="0"/>
              <w:jc w:val="center"/>
            </w:pPr>
            <w:r/>
            <w:r>
              <w:rPr>
                <w:sz w:val="22"/>
              </w:rPr>
              <w:t>Seizure only on reason to believe, detention for testing to be kept to the minimum and reported beyond three days, and detained cargo to be warehoused under Section 49</w:t>
            </w:r>
          </w:p>
        </w:tc>
      </w:tr>
      <w:tr>
        <w:tc>
          <w:tcPr>
            <w:tcW w:type="dxa" w:w="720"/>
          </w:tcPr>
          <w:p>
            <w:pPr>
              <w:spacing w:line="240" w:lineRule="auto" w:after="0"/>
              <w:jc w:val="center"/>
            </w:pPr>
            <w:r/>
            <w:r>
              <w:rPr>
                <w:sz w:val="22"/>
              </w:rPr>
              <w:t>9.</w:t>
            </w:r>
          </w:p>
        </w:tc>
        <w:tc>
          <w:tcPr>
            <w:tcW w:type="dxa" w:w="3744"/>
          </w:tcPr>
          <w:p>
            <w:pPr>
              <w:spacing w:line="240" w:lineRule="auto" w:after="0"/>
              <w:jc w:val="center"/>
            </w:pPr>
            <w:r/>
            <w:r>
              <w:rPr>
                <w:sz w:val="22"/>
              </w:rPr>
              <w:t>Records of the earlier detention of the Petitioner's consignments of the identical commodity by the Special Intelligence and Investigation Branch</w:t>
            </w:r>
          </w:p>
        </w:tc>
        <w:tc>
          <w:tcPr>
            <w:tcW w:type="dxa" w:w="4176"/>
          </w:tcPr>
          <w:p>
            <w:pPr>
              <w:spacing w:line="240" w:lineRule="auto" w:after="0"/>
              <w:jc w:val="center"/>
            </w:pPr>
            <w:r/>
            <w:r>
              <w:rPr>
                <w:sz w:val="22"/>
              </w:rPr>
              <w:t>To be obtained from Counsel's file - date of detention, formation, test reports and the manner in which it was closed, in support of the ground on repeated investigation</w:t>
            </w:r>
          </w:p>
        </w:tc>
      </w:tr>
      <w:tr>
        <w:tc>
          <w:tcPr>
            <w:tcW w:type="dxa" w:w="720"/>
          </w:tcPr>
          <w:p>
            <w:pPr>
              <w:spacing w:line="240" w:lineRule="auto" w:after="0"/>
              <w:jc w:val="center"/>
            </w:pPr>
            <w:r/>
            <w:r>
              <w:rPr>
                <w:sz w:val="22"/>
              </w:rPr>
              <w:t>10.</w:t>
            </w:r>
          </w:p>
        </w:tc>
        <w:tc>
          <w:tcPr>
            <w:tcW w:type="dxa" w:w="3744"/>
          </w:tcPr>
          <w:p>
            <w:pPr>
              <w:spacing w:line="240" w:lineRule="auto" w:after="0"/>
              <w:jc w:val="center"/>
            </w:pPr>
            <w:r/>
            <w:r>
              <w:rPr>
                <w:sz w:val="22"/>
              </w:rPr>
              <w:t>Certified or official copies of the authorities relied upon</w:t>
            </w:r>
          </w:p>
        </w:tc>
        <w:tc>
          <w:tcPr>
            <w:tcW w:type="dxa" w:w="4176"/>
          </w:tcPr>
          <w:p>
            <w:pPr>
              <w:spacing w:line="240" w:lineRule="auto" w:after="0"/>
              <w:jc w:val="center"/>
            </w:pPr>
            <w:r/>
            <w:r>
              <w:rPr>
                <w:sz w:val="22"/>
              </w:rPr>
              <w:t>Union of India v. Jatin Ahuja (SC, 11.09.2025); Jatinder Kumar Sachdeva v. Union of India (Del., 08.12.2016); Om Udyog v. Union of India, 2010 (254) E.L.T. 547 (P&amp;H); Birla Corporation Ltd. v. CCE, (2005) 6 S.C.C. 95; ITC Ltd. v. CCE, Kolkata-IV, (2019) 17 S.C.C. 46; Priya Blue Industries Ltd. v. CC (Preventive), (2005) 10 S.C.C. 433; Vivek Narsaria v. State of Jharkhand (Jhar., 15.01.2024); Exim Incorporation v. Union of India (Bom., 09.12.2020); S.J. Fabrics Pvt. Ltd. v. Union of India (Cal., 19.04.2011); Om Udyog v. Union of India (P and H, 14.05.2010); Principal Commissioner of Customs-III (SIIB) v. B.V. Leathers (Mad., 19.09.2017); J.K. Exim v. Principal Commissioner of Customs, W.P. No. 36866 of 2016 (Mad., 19.01.2017), 2017 (348) E.L.T. 612 (Mad.); Hi Rexine v. Additional Commissioner of Customs (SEZ-FTWZ), W.P. No. 28694 of 2025 (Mad., 23.09.2025); Nova Enterprises v. Additional Commissioner of Customs (SEZ-FTWZ), W.P. No. 29074 of 2025 (Mad., 23.09.2025); A.R. Fabrics Pvt. Ltd. v. Principal Commissioner of Customs, W.P. No. 26414 of 2025 (Mad., 26.09.2025); Navshakti Industries, 2011 (269) ELT (A-146) (SC); Hi Rexine v. Deputy Director, DRI, W.P. No. 15944 of 2025 (Mad., 02.06.2025); Hi Rexine v. Additional Commissioner of Customs (SEZ-FTWZ), W.P. No. 28694 of 2025 (Mad., 23.09.2025); W.P. No. 32472 of 2025 (Mad., 18.09.2025); Green Line v. Commissioner of Customs, Chennai-IV, 2016 (340) E.L.T. 140 (Mad.), affirmed in W.A. No. 1243 of 2016 (25.10.2016); Commissioner of Customs v. Sri Venkateshwara Paper Boards, 2022 (379) E.L.T. 310 (Mad.); Navshakti Industries Pvt. Ltd. v. Commissioner of Customs, Delhi, 2011 (267) E.L.T. 483 (Del.), affirmed 2011 (269) E.L.T. (A-146) (SC)</w:t>
            </w:r>
          </w:p>
        </w:tc>
      </w:tr>
      <w:tr>
        <w:tc>
          <w:tcPr>
            <w:tcW w:type="dxa" w:w="720"/>
          </w:tcPr>
          <w:p>
            <w:pPr>
              <w:spacing w:line="240" w:lineRule="auto" w:after="0"/>
              <w:jc w:val="center"/>
            </w:pPr>
            <w:r/>
            <w:r>
              <w:rPr>
                <w:sz w:val="22"/>
              </w:rPr>
              <w:t>11.</w:t>
            </w:r>
          </w:p>
        </w:tc>
        <w:tc>
          <w:tcPr>
            <w:tcW w:type="dxa" w:w="3744"/>
          </w:tcPr>
          <w:p>
            <w:pPr>
              <w:spacing w:line="240" w:lineRule="auto" w:after="0"/>
              <w:jc w:val="center"/>
            </w:pPr>
            <w:r/>
            <w:r>
              <w:rPr>
                <w:sz w:val="22"/>
              </w:rPr>
              <w:t>Copies of the statutory provisions and circulars, if required by the Registry</w:t>
            </w:r>
          </w:p>
        </w:tc>
        <w:tc>
          <w:tcPr>
            <w:tcW w:type="dxa" w:w="4176"/>
          </w:tcPr>
          <w:p>
            <w:pPr>
              <w:spacing w:line="240" w:lineRule="auto" w:after="0"/>
              <w:jc w:val="center"/>
            </w:pPr>
            <w:r/>
            <w:r>
              <w:rPr>
                <w:sz w:val="22"/>
              </w:rPr>
              <w:t>Sections 17, 18, 48, 100 to 105, 110, 110A and 144 of the Customs Act, 1962; Sections 21, 22, 51 and 53 of the SEZ Act, 2005; S.O. 2666(E) and S.O. 2667(E) dated 05.08.2016; Rules 2(c), 18(5), 27(10), 29(2), 47(5) and 75 of the SEZ Rules, 2006; CBIC Circulars No. 84/95-Cus, No. 01/2011-Cus dated 04.01.2011, No. 30/2013-Cus, No. 30/2017-Cus and No. 43/2017-Cus</w:t>
            </w:r>
          </w:p>
        </w:tc>
      </w:tr>
    </w:tbl>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