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8"/>
        </w:rPr>
        <w:t>AAAPURTI RENEWABLE ENERGY INDIA PRIVATE LIMITED</w:t>
      </w:r>
    </w:p>
    <w:p>
      <w:pPr>
        <w:spacing w:after="120"/>
        <w:jc w:val="center"/>
      </w:pPr>
      <w:r>
        <w:rPr>
          <w:sz w:val="20"/>
        </w:rPr>
        <w:t>CIN: U52100DL2018PTC334120</w:t>
      </w:r>
    </w:p>
    <w:p>
      <w:pPr>
        <w:spacing w:after="120"/>
        <w:jc w:val="center"/>
      </w:pPr>
      <w:r>
        <w:rPr>
          <w:sz w:val="20"/>
        </w:rPr>
        <w:t>Unit at: Warehouse No. 12, Part-G, Survey Nos. 161 and 162, Free Trade Warehousing Zone of M/s NDR Infrastructure Private Limited, Nandiambakkam Port Road, Chennai, Tiruvallur District, Tamil Nadu - 600 120</w:t>
      </w:r>
    </w:p>
    <w:p/>
    <w:p>
      <w:pPr>
        <w:spacing w:after="120"/>
        <w:jc w:val="both"/>
      </w:pPr>
      <w:r>
        <w:t>Ref. No.: ARE/SIIB/2026-27/____</w:t>
      </w:r>
    </w:p>
    <w:p>
      <w:pPr>
        <w:spacing w:after="120"/>
        <w:jc w:val="both"/>
      </w:pPr>
      <w:r>
        <w:t>Date: 11.08.2026</w:t>
      </w:r>
    </w:p>
    <w:p/>
    <w:p>
      <w:pPr>
        <w:spacing w:after="120"/>
        <w:jc w:val="both"/>
      </w:pPr>
      <w:r>
        <w:t>BY E-MAIL AND BY SPEED POST</w:t>
      </w:r>
    </w:p>
    <w:p/>
    <w:p>
      <w:pPr>
        <w:spacing w:after="120"/>
        <w:jc w:val="both"/>
      </w:pPr>
      <w:r>
        <w:t>To</w:t>
      </w:r>
    </w:p>
    <w:p>
      <w:pPr>
        <w:spacing w:after="120"/>
        <w:jc w:val="both"/>
      </w:pPr>
      <w:r>
        <w:t>The Deputy / Assistant Commissioner of Customs,</w:t>
      </w:r>
    </w:p>
    <w:p>
      <w:pPr>
        <w:spacing w:after="120"/>
        <w:jc w:val="both"/>
      </w:pPr>
      <w:r>
        <w:t>Special Intelligence and Investigation Branch,</w:t>
      </w:r>
    </w:p>
    <w:p>
      <w:pPr>
        <w:spacing w:after="120"/>
        <w:jc w:val="both"/>
      </w:pPr>
      <w:r>
        <w:t>Office of the Commissioner of Customs,</w:t>
      </w:r>
    </w:p>
    <w:p>
      <w:pPr>
        <w:spacing w:after="120"/>
        <w:jc w:val="both"/>
      </w:pPr>
      <w:r>
        <w:t>Chennai-III (Preventive) Commissionerate,</w:t>
      </w:r>
    </w:p>
    <w:p>
      <w:pPr>
        <w:spacing w:after="120"/>
        <w:jc w:val="both"/>
      </w:pPr>
      <w:r>
        <w:t>Custom House, No. 60, Rajaji Salai, Chennai - 600 001.</w:t>
      </w:r>
    </w:p>
    <w:p>
      <w:pPr>
        <w:spacing w:after="120"/>
        <w:jc w:val="both"/>
      </w:pPr>
      <w:r>
        <w:t>E-mail: seasiib.chn@gov.in</w:t>
      </w:r>
    </w:p>
    <w:p/>
    <w:p>
      <w:pPr>
        <w:spacing w:after="120"/>
        <w:jc w:val="both"/>
      </w:pPr>
      <w:r>
        <w:t>Copy to:</w:t>
      </w:r>
    </w:p>
    <w:p>
      <w:pPr>
        <w:spacing w:after="120"/>
        <w:jc w:val="both"/>
      </w:pPr>
      <w:r>
        <w:t>1. The Development Commissioner, MEPZ Special Economic Zone, Chennai.</w:t>
      </w:r>
    </w:p>
    <w:p>
      <w:pPr>
        <w:spacing w:after="120"/>
        <w:jc w:val="both"/>
      </w:pPr>
      <w:r>
        <w:t>2. The Specified Officer, MEPZ Special Economic Zone, Chennai.</w:t>
      </w:r>
    </w:p>
    <w:p>
      <w:pPr>
        <w:spacing w:after="120"/>
        <w:jc w:val="both"/>
      </w:pPr>
      <w:r>
        <w:t>3. The Authorised Officer, NDR Infrastructure FTWZ, Ponneri, Tiruvallur District.</w:t>
      </w:r>
    </w:p>
    <w:p/>
    <w:p>
      <w:pPr>
        <w:spacing w:after="120"/>
        <w:jc w:val="both"/>
      </w:pPr>
      <w:r>
        <w:rPr>
          <w:b/>
        </w:rPr>
        <w:t>Subject: Action taken on 10.08.2026 inside the Petitioner's Unit in the Free Trade Warehousing Zone of M/s NDR Infrastructure Private Limited in respect of Blister Copper warehoused under assessed Z-type Bill of Entry No. 2875203 dated 01.08.2026 - want of jurisdiction under Section 22 of the Special Economic Zones Act, 2005 - prior intimation to the Development Commissioner and reasons recorded in writing - documents called for.</w:t>
      </w:r>
    </w:p>
    <w:p/>
    <w:p>
      <w:pPr>
        <w:spacing w:after="120"/>
        <w:jc w:val="both"/>
      </w:pPr>
      <w:r>
        <w:t>Reference: Summons dated 10.08.2026 in F.No. GEN/INV/DR/170//2026-SIIB bearing DIN-20260873MY0000276822.</w:t>
      </w:r>
    </w:p>
    <w:p/>
    <w:p>
      <w:pPr>
        <w:spacing w:after="120"/>
        <w:jc w:val="both"/>
      </w:pPr>
      <w:r>
        <w:t>Sir,</w:t>
      </w:r>
    </w:p>
    <w:p/>
    <w:p>
      <w:pPr>
        <w:spacing w:after="120"/>
        <w:jc w:val="both"/>
      </w:pPr>
      <w:r>
        <w:t>1. On 10.08.2026 officers of your Branch entered our Unit inside the Free Trade Warehousing Zone of M/s NDR Infrastructure Private Limited, inspected and photographed the Blister Copper lying warehoused there under the assessed Z-type Bill of Entry No. 2875203 dated 01.08.2026, drew samples from the said goods, took over control of the goods, took copies of our records including the Letter of Approval bearing File No. 08/45/2025-NDR FTWZ-SEZ dated 22.10.2025, and recorded the statement of our employee Shri A. Krishnesh Raja. No order of seizure, grounds of belief, mahazar, panchanama, inventory, sampling memo or receipt under Section 144 of the Customs Act, 1962 has been given to us, and no authority to enter the Zone was shown.</w:t>
      </w:r>
    </w:p>
    <w:p/>
    <w:p>
      <w:pPr>
        <w:spacing w:after="120"/>
        <w:jc w:val="both"/>
      </w:pPr>
      <w:r>
        <w:t xml:space="preserve">2. </w:t>
      </w:r>
      <w:r>
        <w:rPr>
          <w:b/>
        </w:rPr>
        <w:t>The action was taken inside a Special Economic Zone and inside a Unit, and Section 22 of the Special Economic Zones Act, 2005 therefore governs it.</w:t>
      </w:r>
      <w:r>
        <w:t xml:space="preserve"> Section 22 provides that no investigation, inspection, search or seizure shall be carried out in a Special Economic Zone or in a Unit by any agency or officer other than those specified under sub-section (1) of Section 20 or sub-section (1) of Section 21, </w:t>
      </w:r>
      <w:r>
        <w:rPr>
          <w:b/>
        </w:rPr>
        <w:t>without prior intimation or approval of the Development Commissioner</w:t>
      </w:r>
      <w:r>
        <w:t xml:space="preserve">; and that where any investigation, inspection, search or seizure is to be carried out in a Unit, it shall be carried out by the authorised officer or agency, as the case may be, </w:t>
      </w:r>
      <w:r>
        <w:rPr>
          <w:b/>
        </w:rPr>
        <w:t>with the prior intimation of the Development Commissioner</w:t>
      </w:r>
      <w:r>
        <w:t xml:space="preserve">. The </w:t>
      </w:r>
      <w:r>
        <w:rPr>
          <w:b/>
        </w:rPr>
        <w:t>first proviso</w:t>
      </w:r>
      <w:r>
        <w:t xml:space="preserve"> to Section 22 further provides that no such investigation, inspection, search or seizure shall be carried out in a Unit by any agency or officer other than those referred to in sub-section (1) of Section 20 or sub-section (1) of Section 21 </w:t>
      </w:r>
      <w:r>
        <w:rPr>
          <w:b/>
        </w:rPr>
        <w:t>without prior approval of the Development Commissioner concerned</w:t>
      </w:r>
      <w:r>
        <w:t xml:space="preserve">. The provision is thus in two limbs, both of which are conditions precedent: </w:t>
      </w:r>
      <w:r>
        <w:rPr>
          <w:b/>
        </w:rPr>
        <w:t>(a) prior intimation to, or in the case of any other agency or officer, prior approval of, the Development Commissioner; and (b) reasons recorded in writing</w:t>
      </w:r>
      <w:r>
        <w:t xml:space="preserve"> that a notified offence has been, or is likely to be, committed.</w:t>
      </w:r>
    </w:p>
    <w:p/>
    <w:p>
      <w:pPr>
        <w:spacing w:after="120"/>
        <w:jc w:val="both"/>
      </w:pPr>
      <w:r>
        <w:t xml:space="preserve">3. </w:t>
      </w:r>
      <w:r>
        <w:rPr>
          <w:b/>
        </w:rPr>
        <w:t>The same two conditions are imposed by the notification under which alone the Customs formation can act inside the Zone.</w:t>
      </w:r>
      <w:r>
        <w:t xml:space="preserve"> By S.O. 2667(E) dated 05.08.2016, issued by the Ministry of Commerce and Industry, Department of Commerce, in exercise of the powers conferred by Section 22 of the Special Economic Zones Act, 2005, the jurisdictional Commissioner of Customs has been specified as the agency for the purposes of carrying out investigation, inspection, search or seizure in a Special Economic Zone or in a Unit, subject expressly to the conditions that the same shall be carried out </w:t>
      </w:r>
      <w:r>
        <w:rPr>
          <w:b/>
        </w:rPr>
        <w:t>for reasons to be recorded in writing</w:t>
      </w:r>
      <w:r>
        <w:t xml:space="preserve"> and </w:t>
      </w:r>
      <w:r>
        <w:rPr>
          <w:b/>
        </w:rPr>
        <w:t>with prior intimation to the Development Commissioner concerned</w:t>
      </w:r>
      <w:r>
        <w:t xml:space="preserve">. The specification is of the </w:t>
      </w:r>
      <w:r>
        <w:rPr>
          <w:b/>
        </w:rPr>
        <w:t>jurisdictional Commissioner of Customs</w:t>
      </w:r>
      <w:r>
        <w:t>, and the power is conferred subject to those conditions; it is not a general licence to any officer of any Commissionerate to enter a Unit inside the Zone at will.</w:t>
      </w:r>
    </w:p>
    <w:p/>
    <w:p>
      <w:pPr>
        <w:spacing w:after="120"/>
        <w:jc w:val="both"/>
      </w:pPr>
      <w:r>
        <w:t xml:space="preserve">4. </w:t>
      </w:r>
      <w:r>
        <w:rPr>
          <w:b/>
        </w:rPr>
        <w:t>The judgment on which the Department itself relies makes compliance the very test.</w:t>
      </w:r>
      <w:r>
        <w:t xml:space="preserve"> In *RHC Global Exports Private Limited v. Union of India*, Special Civil Application No. 5978 of 2023, decided on 06.06.2023, the Hon'ble High Court of Gujarat declined to interfere with a search and seizure carried out inside a Special Economic Zone unit precisely because the officers were an agency specified under the notification dated 05.08.2016 </w:t>
      </w:r>
      <w:r>
        <w:rPr>
          <w:b/>
        </w:rPr>
        <w:t>and because the Development Commissioner had in fact been informed</w:t>
      </w:r>
      <w:r>
        <w:t xml:space="preserve"> of the action. The authority is therefore not authority for the proposition that Customs may enter a Unit as it pleases; it is authority for the proposition that the entry stands or falls on the specification and on the intimation. Where, as here, neither the specification of the acting officers nor the prior intimation to, or approval of, the Development Commissioner is shown, and no reasons in writing are produced, the action falls outside Section 22 and is without jurisdiction.</w:t>
      </w:r>
    </w:p>
    <w:p/>
    <w:p>
      <w:pPr>
        <w:spacing w:after="120"/>
        <w:jc w:val="both"/>
      </w:pPr>
      <w:r>
        <w:t>5. In the present case, to the best of our knowledge and belief -</w:t>
      </w:r>
    </w:p>
    <w:p/>
    <w:p>
      <w:pPr>
        <w:spacing w:after="120"/>
        <w:jc w:val="both"/>
      </w:pPr>
      <w:r>
        <w:t>(a) no prior intimation of the proposed action was given to the Development Commissioner, MEPZ Special Economic Zone, nor was any prior approval obtained from him;</w:t>
      </w:r>
    </w:p>
    <w:p>
      <w:pPr>
        <w:spacing w:after="120"/>
        <w:jc w:val="both"/>
      </w:pPr>
      <w:r>
        <w:t>(b) no reasons were recorded in writing, and none has been communicated to us, that any notified offence has been, or is likely to be, committed;</w:t>
      </w:r>
    </w:p>
    <w:p>
      <w:pPr>
        <w:spacing w:after="120"/>
        <w:jc w:val="both"/>
      </w:pPr>
      <w:r>
        <w:t>(c) the officers who entered the Unit did not show, and have not since disclosed, any authorisation of the jurisdictional Commissioner of Customs, or any specification under Section 20(1) or Section 21(1) of the said Act; and</w:t>
      </w:r>
    </w:p>
    <w:p>
      <w:pPr>
        <w:spacing w:after="120"/>
        <w:jc w:val="both"/>
      </w:pPr>
      <w:r>
        <w:t>(d) our Letter of Approval is endorsed to the Specified Officer and to the Authorised Officer, NDR Infrastructure FTWZ, and to no other formation.</w:t>
      </w:r>
    </w:p>
    <w:p/>
    <w:p>
      <w:pPr>
        <w:spacing w:after="120"/>
        <w:jc w:val="both"/>
      </w:pPr>
      <w:r>
        <w:t>6. We accordingly request you to be pleased to furnish us, within seven days -</w:t>
      </w:r>
    </w:p>
    <w:p/>
    <w:p>
      <w:pPr>
        <w:spacing w:after="120"/>
        <w:jc w:val="both"/>
      </w:pPr>
      <w:r>
        <w:t>(a) a copy of the prior intimation given to, or the prior approval obtained from, the Development Commissioner, MEPZ Special Economic Zone, under Section 22 of the Special Economic Zones Act, 2005 in respect of the action of 10.08.2026;</w:t>
      </w:r>
    </w:p>
    <w:p>
      <w:pPr>
        <w:spacing w:after="120"/>
        <w:jc w:val="both"/>
      </w:pPr>
      <w:r>
        <w:t>(b) a copy of the reasons recorded in writing under Section 22 read with S.O. 2667(E) dated 05.08.2016 preceding the said action;</w:t>
      </w:r>
    </w:p>
    <w:p>
      <w:pPr>
        <w:spacing w:after="120"/>
        <w:jc w:val="both"/>
      </w:pPr>
      <w:r>
        <w:t>(c) a copy of the authorisation of the jurisdictional Commissioner of Customs in favour of the officers who carried out the said action; and</w:t>
      </w:r>
    </w:p>
    <w:p>
      <w:pPr>
        <w:spacing w:after="120"/>
        <w:jc w:val="both"/>
      </w:pPr>
      <w:r>
        <w:t>(d) the order of seizure or detention, the grounds of belief, the mahazar or panchanama, the inventory, the sampling memo and the receipt under Section 144 of the Customs Act, 1962 for the samples drawn on 10.08.2026, together with a copy of the statement recorded from Shri A. Krishnesh Raja,</w:t>
      </w:r>
    </w:p>
    <w:p/>
    <w:p>
      <w:pPr>
        <w:spacing w:after="120"/>
        <w:jc w:val="both"/>
      </w:pPr>
      <w:r>
        <w:t>or, if any of the aforesaid documents does not exist, to state that fact in writing.</w:t>
      </w:r>
    </w:p>
    <w:p/>
    <w:p>
      <w:pPr>
        <w:spacing w:after="120"/>
        <w:jc w:val="both"/>
      </w:pPr>
      <w:r>
        <w:t>7. Pending compliance, we call upon you to forbear from removing the goods from the Zone or dealing with them otherwise than in accordance with Sections 110 and 110A of the Customs Act, 1962 and the Standard Operating Procedure "Clearance of Blister Copper under CTH 7402" bearing F.No. MEPZ-MSM043(C)/226/2025-SEZ Chennai, and to release the said goods to our Unit, or, if any seizure be claimed, to grant provisional release under Section 110A of the Customs Act, 1962.</w:t>
      </w:r>
    </w:p>
    <w:p/>
    <w:p>
      <w:pPr>
        <w:spacing w:after="120"/>
        <w:jc w:val="both"/>
      </w:pPr>
      <w:r>
        <w:t>8. This letter is written without prejudice to our rights and contentions, all of which are expressly reserved, including our right to move the Hon'ble High Court of Judicature at Madras, and nothing herein is to be read as an admission that any valid seizure has been effected.</w:t>
      </w:r>
    </w:p>
    <w:p/>
    <w:p>
      <w:pPr>
        <w:spacing w:after="120"/>
        <w:jc w:val="both"/>
      </w:pPr>
      <w:r>
        <w:t>Thanking you,</w:t>
      </w:r>
    </w:p>
    <w:p/>
    <w:p>
      <w:pPr>
        <w:spacing w:after="120"/>
        <w:jc w:val="both"/>
      </w:pPr>
      <w:r>
        <w:t>Yours faithfully,</w:t>
      </w:r>
    </w:p>
    <w:p>
      <w:pPr>
        <w:spacing w:after="120"/>
        <w:jc w:val="both"/>
      </w:pPr>
      <w:r>
        <w:t>For Aaapurti Renewable Energy India Private Limited</w:t>
      </w:r>
    </w:p>
    <w:p/>
    <w:p>
      <w:pPr>
        <w:spacing w:after="120"/>
        <w:jc w:val="both"/>
      </w:pPr>
      <w:r>
        <w:t>Authorised Signatory / Director</w:t>
      </w:r>
    </w:p>
    <w:p/>
    <w:sectPr w:rsidR="00FC693F" w:rsidRPr="0006063C" w:rsidSect="00034616">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