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AAAPURTI RENEWABLE ENERGY INDIA PRIVATE LIMITED</w:t>
      </w:r>
    </w:p>
    <w:p>
      <w:pPr>
        <w:pStyle w:val="Heading2"/>
      </w:pPr>
      <w:r>
        <w:t>COMPENDIUM OF LAW, NOTIFICATIONS, CIRCULARS AND CASE LAW</w:t>
      </w:r>
    </w:p>
    <w:p>
      <w:pPr>
        <w:jc w:val="both"/>
      </w:pPr>
      <w:r>
        <w:t>Blister Copper (CTH 7402) — Z-type Bill of Entry — FTWZ warehousing — Customs/SIIB detention and sampling</w:t>
      </w:r>
    </w:p>
    <w:p>
      <w:pPr>
        <w:jc w:val="both"/>
      </w:pPr>
      <w:r>
        <w:t xml:space="preserve">Prepared for Counsel. Every entry below is marked </w:t>
      </w:r>
      <w:r>
        <w:rPr>
          <w:b/>
        </w:rPr>
        <w:t>[Verified]</w:t>
      </w:r>
      <w:r>
        <w:t xml:space="preserve"> where the primary or reported text has been read, </w:t>
      </w:r>
      <w:r>
        <w:rPr>
          <w:b/>
        </w:rPr>
        <w:t>[Reported]</w:t>
      </w:r>
      <w:r>
        <w:t xml:space="preserve"> where only a reported/secondary source has been read, and </w:t>
      </w:r>
      <w:r>
        <w:rPr>
          <w:b/>
        </w:rPr>
        <w:t>[To verify]</w:t>
      </w:r>
      <w:r>
        <w:t xml:space="preserve"> where the citation must be checked against the official text before it is cited in Court.</w:t>
      </w:r>
    </w:p>
    <w:p>
      <w:pPr>
        <w:pStyle w:val="Heading2"/>
      </w:pPr>
      <w:r>
        <w:t>PART I — THE TWO PROCEEDINGS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r>
            <w:r>
              <w:rPr>
                <w:b/>
              </w:rPr>
              <w:t>Consignment A — Air Cargo</w:t>
            </w:r>
          </w:p>
        </w:tc>
        <w:tc>
          <w:tcPr>
            <w:tcW w:type="dxa" w:w="3120"/>
          </w:tcPr>
          <w:p>
            <w:r>
              <w:rPr>
                <w:b/>
              </w:rPr>
            </w:r>
            <w:r>
              <w:rPr>
                <w:b/>
              </w:rPr>
              <w:t>Consignment B — FTWZ</w:t>
            </w:r>
          </w:p>
        </w:tc>
      </w:tr>
      <w:tr>
        <w:tc>
          <w:tcPr>
            <w:tcW w:type="dxa" w:w="3120"/>
          </w:tcPr>
          <w:p>
            <w:r/>
            <w:r>
              <w:t>Formation acting</w:t>
            </w:r>
          </w:p>
        </w:tc>
        <w:tc>
          <w:tcPr>
            <w:tcW w:type="dxa" w:w="3120"/>
          </w:tcPr>
          <w:p>
            <w:r/>
            <w:r>
              <w:t>SIIB, Air Cargo Complex, Meenambakkam</w:t>
            </w:r>
          </w:p>
        </w:tc>
        <w:tc>
          <w:tcPr>
            <w:tcW w:type="dxa" w:w="3120"/>
          </w:tcPr>
          <w:p>
            <w:r/>
            <w:r>
              <w:t>SIIB, Chennai-III (Preventive) Commissionerate, Custom House, Rajaji Salai</w:t>
            </w:r>
          </w:p>
        </w:tc>
      </w:tr>
      <w:tr>
        <w:tc>
          <w:tcPr>
            <w:tcW w:type="dxa" w:w="3120"/>
          </w:tcPr>
          <w:p>
            <w:r/>
            <w:r>
              <w:t>Bill of Entry</w:t>
            </w:r>
          </w:p>
        </w:tc>
        <w:tc>
          <w:tcPr>
            <w:tcW w:type="dxa" w:w="3120"/>
          </w:tcPr>
          <w:p>
            <w:r/>
            <w:r>
              <w:t>Z-type B/E No. 2875354 dated 01.08.2026</w:t>
            </w:r>
          </w:p>
        </w:tc>
        <w:tc>
          <w:tcPr>
            <w:tcW w:type="dxa" w:w="3120"/>
          </w:tcPr>
          <w:p>
            <w:r/>
            <w:r>
              <w:t>(second Z-type B/E — number and date to be inserted)</w:t>
            </w:r>
          </w:p>
        </w:tc>
      </w:tr>
      <w:tr>
        <w:tc>
          <w:tcPr>
            <w:tcW w:type="dxa" w:w="3120"/>
          </w:tcPr>
          <w:p>
            <w:r/>
            <w:r>
              <w:t>Goods</w:t>
            </w:r>
          </w:p>
        </w:tc>
        <w:tc>
          <w:tcPr>
            <w:tcW w:type="dxa" w:w="3120"/>
          </w:tcPr>
          <w:p>
            <w:r/>
            <w:r>
              <w:t>Blister Copper, CTH 7402, 414.556 kgs, declared value Rs. 8,32,51,039.90, origin UAE</w:t>
            </w:r>
          </w:p>
        </w:tc>
        <w:tc>
          <w:tcPr>
            <w:tcW w:type="dxa" w:w="3120"/>
          </w:tcPr>
          <w:p>
            <w:r/>
            <w:r>
              <w:t>Blister Copper warehoused in the Unit</w:t>
            </w:r>
          </w:p>
        </w:tc>
      </w:tr>
      <w:tr>
        <w:tc>
          <w:tcPr>
            <w:tcW w:type="dxa" w:w="3120"/>
          </w:tcPr>
          <w:p>
            <w:r/>
            <w:r>
              <w:t>Physical location of the goods</w:t>
            </w:r>
          </w:p>
        </w:tc>
        <w:tc>
          <w:tcPr>
            <w:tcW w:type="dxa" w:w="3120"/>
          </w:tcPr>
          <w:p>
            <w:r/>
            <w:r>
              <w:t>Air Cargo Complex, Chennai (not yet admitted into the Zone)</w:t>
            </w:r>
          </w:p>
        </w:tc>
        <w:tc>
          <w:tcPr>
            <w:tcW w:type="dxa" w:w="3120"/>
          </w:tcPr>
          <w:p>
            <w:r/>
            <w:r>
              <w:t>Warehouse No. 12, Part-G, Survey Nos. 161 and 162, NDR Infrastructure Pvt. Ltd. FTWZ, Nandiambakkam Port Road, Chennai</w:t>
            </w:r>
          </w:p>
        </w:tc>
      </w:tr>
      <w:tr>
        <w:tc>
          <w:tcPr>
            <w:tcW w:type="dxa" w:w="3120"/>
          </w:tcPr>
          <w:p>
            <w:r/>
            <w:r>
              <w:t>Impugned action</w:t>
            </w:r>
          </w:p>
        </w:tc>
        <w:tc>
          <w:tcPr>
            <w:tcW w:type="dxa" w:w="3120"/>
          </w:tcPr>
          <w:p>
            <w:r/>
            <w:r>
              <w:t>Detention and drawal of samples on 07.08.2026</w:t>
            </w:r>
          </w:p>
        </w:tc>
        <w:tc>
          <w:tcPr>
            <w:tcW w:type="dxa" w:w="3120"/>
          </w:tcPr>
          <w:p>
            <w:r/>
            <w:r>
              <w:t>Detention and drawal of samples on 10.08.2026; statement of Shri A. Krishnesh Raja under s.108; summons dated 10.08.2026</w:t>
            </w:r>
          </w:p>
        </w:tc>
      </w:tr>
      <w:tr>
        <w:tc>
          <w:tcPr>
            <w:tcW w:type="dxa" w:w="3120"/>
          </w:tcPr>
          <w:p>
            <w:r/>
            <w:r>
              <w:t>SEZ Act s.22 available?</w:t>
            </w:r>
          </w:p>
        </w:tc>
        <w:tc>
          <w:tcPr>
            <w:tcW w:type="dxa" w:w="3120"/>
          </w:tcPr>
          <w:p>
            <w:r/>
            <w:r>
              <w:t>No — nothing was done inside the Zone or the Unit</w:t>
            </w:r>
          </w:p>
        </w:tc>
        <w:tc>
          <w:tcPr>
            <w:tcW w:type="dxa" w:w="3120"/>
          </w:tcPr>
          <w:p>
            <w:r/>
            <w:r>
              <w:t>Yes — the action was inside the Zone and inside the Unit</w:t>
            </w:r>
          </w:p>
        </w:tc>
      </w:tr>
      <w:tr>
        <w:tc>
          <w:tcPr>
            <w:tcW w:type="dxa" w:w="3120"/>
          </w:tcPr>
          <w:p>
            <w:r/>
            <w:r>
              <w:t>Writ</w:t>
            </w:r>
          </w:p>
        </w:tc>
        <w:tc>
          <w:tcPr>
            <w:tcW w:type="dxa" w:w="3120"/>
          </w:tcPr>
          <w:p>
            <w:r/>
            <w:r>
              <w:t>Writ No. 1 (ACC SIIB)</w:t>
            </w:r>
          </w:p>
        </w:tc>
        <w:tc>
          <w:tcPr>
            <w:tcW w:type="dxa" w:w="3120"/>
          </w:tcPr>
          <w:p>
            <w:r/>
            <w:r>
              <w:t>Writ No. 2 (SIIB, Chennai-III Preventive)</w:t>
            </w:r>
          </w:p>
        </w:tc>
      </w:tr>
    </w:tbl>
    <w:p/>
    <w:p>
      <w:pPr>
        <w:jc w:val="both"/>
      </w:pPr>
      <w:r>
        <w:t>The distinction matters only for the SEZ Act grounds. Every other ground (no written detention or seizure order, no grounds of belief, no mahazar, no sampling memo, breach of the MEPZ SOP, an assessed Z-BoE nullified by an officer with no power to do so, Article 14 on 18 prior identical clearances) applies to both.</w:t>
      </w:r>
    </w:p>
    <w:p>
      <w:pPr>
        <w:pStyle w:val="Heading2"/>
      </w:pPr>
      <w:r>
        <w:t>PART II — CONSTITUTION AND CUSTOMS ACT, 1962</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Provision</w:t>
            </w:r>
          </w:p>
        </w:tc>
        <w:tc>
          <w:tcPr>
            <w:tcW w:type="dxa" w:w="4680"/>
          </w:tcPr>
          <w:p>
            <w:r>
              <w:rPr>
                <w:b/>
              </w:rPr>
            </w:r>
            <w:r>
              <w:rPr>
                <w:b/>
              </w:rPr>
              <w:t>Relevance</w:t>
            </w:r>
          </w:p>
        </w:tc>
      </w:tr>
      <w:tr>
        <w:tc>
          <w:tcPr>
            <w:tcW w:type="dxa" w:w="4680"/>
          </w:tcPr>
          <w:p>
            <w:r/>
            <w:r>
              <w:t>Articles 14, 19(1)(g), 226, 300A</w:t>
            </w:r>
          </w:p>
        </w:tc>
        <w:tc>
          <w:tcPr>
            <w:tcW w:type="dxa" w:w="4680"/>
          </w:tcPr>
          <w:p>
            <w:r/>
            <w:r>
              <w:t>Discrimination against 18 identical prior clearances; interference with trade; deprivation of Rs. 8.32 crore of goods otherwise than by authority of law</w:t>
            </w:r>
          </w:p>
        </w:tc>
      </w:tr>
      <w:tr>
        <w:tc>
          <w:tcPr>
            <w:tcW w:type="dxa" w:w="4680"/>
          </w:tcPr>
          <w:p>
            <w:r/>
            <w:r>
              <w:t>s.2(34)</w:t>
            </w:r>
          </w:p>
        </w:tc>
        <w:tc>
          <w:tcPr>
            <w:tcW w:type="dxa" w:w="4680"/>
          </w:tcPr>
          <w:p>
            <w:r/>
            <w:r>
              <w:t>"Proper officer" — only the officer to whom the function is assigned may exercise it; SIIB is an intelligence/investigation wing</w:t>
            </w:r>
          </w:p>
        </w:tc>
      </w:tr>
      <w:tr>
        <w:tc>
          <w:tcPr>
            <w:tcW w:type="dxa" w:w="4680"/>
          </w:tcPr>
          <w:p>
            <w:r/>
            <w:r>
              <w:t>s.5(1A)/(1B), s.110AA (Finance Act, 2022)</w:t>
            </w:r>
          </w:p>
        </w:tc>
        <w:tc>
          <w:tcPr>
            <w:tcW w:type="dxa" w:w="4680"/>
          </w:tcPr>
          <w:p>
            <w:r/>
            <w:r>
              <w:t xml:space="preserve">Assignment of functions to officers of customs; post-inquiry action must be taken by the officer competent for the function </w:t>
            </w:r>
            <w:r>
              <w:rPr>
                <w:b/>
              </w:rPr>
              <w:t>[To verify — check applicability to these facts]</w:t>
            </w:r>
          </w:p>
        </w:tc>
      </w:tr>
      <w:tr>
        <w:tc>
          <w:tcPr>
            <w:tcW w:type="dxa" w:w="4680"/>
          </w:tcPr>
          <w:p>
            <w:r/>
            <w:r>
              <w:t>s.17(4) and (5)</w:t>
            </w:r>
          </w:p>
        </w:tc>
        <w:tc>
          <w:tcPr>
            <w:tcW w:type="dxa" w:w="4680"/>
          </w:tcPr>
          <w:p>
            <w:r/>
            <w:r>
              <w:t>Re-assessment, with a speaking order — the only route to disturb an assessment</w:t>
            </w:r>
          </w:p>
        </w:tc>
      </w:tr>
      <w:tr>
        <w:tc>
          <w:tcPr>
            <w:tcW w:type="dxa" w:w="4680"/>
          </w:tcPr>
          <w:p>
            <w:r/>
            <w:r>
              <w:t>s.18</w:t>
            </w:r>
          </w:p>
        </w:tc>
        <w:tc>
          <w:tcPr>
            <w:tcW w:type="dxa" w:w="4680"/>
          </w:tcPr>
          <w:p>
            <w:r/>
            <w:r>
              <w:t>Provisional assessment</w:t>
            </w:r>
          </w:p>
        </w:tc>
      </w:tr>
      <w:tr>
        <w:tc>
          <w:tcPr>
            <w:tcW w:type="dxa" w:w="4680"/>
          </w:tcPr>
          <w:p>
            <w:r/>
            <w:r>
              <w:t>s.45</w:t>
            </w:r>
          </w:p>
        </w:tc>
        <w:tc>
          <w:tcPr>
            <w:tcW w:type="dxa" w:w="4680"/>
          </w:tcPr>
          <w:p>
            <w:r/>
            <w:r>
              <w:t>Custody of imported goods with the custodian; goods not to be removed except as permitted</w:t>
            </w:r>
          </w:p>
        </w:tc>
      </w:tr>
      <w:tr>
        <w:tc>
          <w:tcPr>
            <w:tcW w:type="dxa" w:w="4680"/>
          </w:tcPr>
          <w:p>
            <w:r/>
            <w:r>
              <w:t>s.47 / s.48</w:t>
            </w:r>
          </w:p>
        </w:tc>
        <w:tc>
          <w:tcPr>
            <w:tcW w:type="dxa" w:w="4680"/>
          </w:tcPr>
          <w:p>
            <w:r/>
            <w:r>
              <w:t>Clearance for home consumption; goods not cleared within 30 days</w:t>
            </w:r>
          </w:p>
        </w:tc>
      </w:tr>
      <w:tr>
        <w:tc>
          <w:tcPr>
            <w:tcW w:type="dxa" w:w="4680"/>
          </w:tcPr>
          <w:p>
            <w:r/>
            <w:r>
              <w:t>s.108</w:t>
            </w:r>
          </w:p>
        </w:tc>
        <w:tc>
          <w:tcPr>
            <w:tcW w:type="dxa" w:w="4680"/>
          </w:tcPr>
          <w:p>
            <w:r/>
            <w:r>
              <w:t>Power to summon persons to give evidence and produce documents</w:t>
            </w:r>
          </w:p>
        </w:tc>
      </w:tr>
      <w:tr>
        <w:tc>
          <w:tcPr>
            <w:tcW w:type="dxa" w:w="4680"/>
          </w:tcPr>
          <w:p>
            <w:r/>
            <w:r>
              <w:t>s.110</w:t>
            </w:r>
          </w:p>
        </w:tc>
        <w:tc>
          <w:tcPr>
            <w:tcW w:type="dxa" w:w="4680"/>
          </w:tcPr>
          <w:p>
            <w:r/>
            <w:r>
              <w:t xml:space="preserve">Seizure — the </w:t>
            </w:r>
            <w:r>
              <w:rPr>
                <w:b/>
              </w:rPr>
              <w:t>only</w:t>
            </w:r>
            <w:r>
              <w:t xml:space="preserve"> power to withhold goods; requires reason to believe that the goods are liable to confiscation</w:t>
            </w:r>
          </w:p>
        </w:tc>
      </w:tr>
      <w:tr>
        <w:tc>
          <w:tcPr>
            <w:tcW w:type="dxa" w:w="4680"/>
          </w:tcPr>
          <w:p>
            <w:r/>
            <w:r>
              <w:t>s.110(2)</w:t>
            </w:r>
          </w:p>
        </w:tc>
        <w:tc>
          <w:tcPr>
            <w:tcW w:type="dxa" w:w="4680"/>
          </w:tcPr>
          <w:p>
            <w:r/>
            <w:r>
              <w:t>Notice under s.124 within six months of seizure, extendable once</w:t>
            </w:r>
          </w:p>
        </w:tc>
      </w:tr>
      <w:tr>
        <w:tc>
          <w:tcPr>
            <w:tcW w:type="dxa" w:w="4680"/>
          </w:tcPr>
          <w:p>
            <w:r/>
            <w:r>
              <w:t>s.110A</w:t>
            </w:r>
          </w:p>
        </w:tc>
        <w:tc>
          <w:tcPr>
            <w:tcW w:type="dxa" w:w="4680"/>
          </w:tcPr>
          <w:p>
            <w:r/>
            <w:r>
              <w:t>Provisional release pending adjudication — the practical relief the Madras High Court grants</w:t>
            </w:r>
          </w:p>
        </w:tc>
      </w:tr>
      <w:tr>
        <w:tc>
          <w:tcPr>
            <w:tcW w:type="dxa" w:w="4680"/>
          </w:tcPr>
          <w:p>
            <w:r/>
            <w:r>
              <w:t>s.124</w:t>
            </w:r>
          </w:p>
        </w:tc>
        <w:tc>
          <w:tcPr>
            <w:tcW w:type="dxa" w:w="4680"/>
          </w:tcPr>
          <w:p>
            <w:r/>
            <w:r>
              <w:t>Show cause notice before confiscation or penalty</w:t>
            </w:r>
          </w:p>
        </w:tc>
      </w:tr>
      <w:tr>
        <w:tc>
          <w:tcPr>
            <w:tcW w:type="dxa" w:w="4680"/>
          </w:tcPr>
          <w:p>
            <w:r/>
            <w:r>
              <w:t>s.144</w:t>
            </w:r>
          </w:p>
        </w:tc>
        <w:tc>
          <w:tcPr>
            <w:tcW w:type="dxa" w:w="4680"/>
          </w:tcPr>
          <w:p>
            <w:r/>
            <w:r>
              <w:t xml:space="preserve">Power to take samples — </w:t>
            </w:r>
            <w:r>
              <w:rPr>
                <w:b/>
              </w:rPr>
              <w:t>on receipt</w:t>
            </w:r>
            <w:r>
              <w:t xml:space="preserve"> being given for the sample taken</w:t>
            </w:r>
          </w:p>
        </w:tc>
      </w:tr>
      <w:tr>
        <w:tc>
          <w:tcPr>
            <w:tcW w:type="dxa" w:w="4680"/>
          </w:tcPr>
          <w:p>
            <w:r/>
            <w:r>
              <w:t>s.157</w:t>
            </w:r>
          </w:p>
        </w:tc>
        <w:tc>
          <w:tcPr>
            <w:tcW w:type="dxa" w:w="4680"/>
          </w:tcPr>
          <w:p>
            <w:r/>
            <w:r>
              <w:t>Regulation-making power (source of the Bill of Entry Regulations, 2018)</w:t>
            </w:r>
          </w:p>
        </w:tc>
      </w:tr>
    </w:tbl>
    <w:p/>
    <w:p>
      <w:pPr>
        <w:jc w:val="both"/>
      </w:pPr>
      <w:r>
        <w:t xml:space="preserve">The Customs Act contains </w:t>
      </w:r>
      <w:r>
        <w:rPr>
          <w:b/>
        </w:rPr>
        <w:t>no power of "detention"</w:t>
      </w:r>
      <w:r>
        <w:t xml:space="preserve"> of imported goods as a category distinct from seizure under s.110 or lawful custody under s.45/s.49. That is the doctrinal centre of both petitions.</w:t>
      </w:r>
    </w:p>
    <w:p>
      <w:pPr>
        <w:pStyle w:val="Heading2"/>
      </w:pPr>
      <w:r>
        <w:t>PART III — SEZ ACT, 2005 AND SEZ RULES, 2006</w:t>
      </w:r>
    </w:p>
    <w:p>
      <w:pPr>
        <w:pStyle w:val="Heading3"/>
      </w:pPr>
      <w:r>
        <w:t>A. SEZ Act, 2005</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Provision</w:t>
            </w:r>
          </w:p>
        </w:tc>
        <w:tc>
          <w:tcPr>
            <w:tcW w:type="dxa" w:w="3120"/>
          </w:tcPr>
          <w:p>
            <w:r>
              <w:rPr>
                <w:b/>
              </w:rPr>
            </w:r>
            <w:r>
              <w:rPr>
                <w:b/>
              </w:rPr>
              <w:t>Text / effect</w:t>
            </w:r>
          </w:p>
        </w:tc>
        <w:tc>
          <w:tcPr>
            <w:tcW w:type="dxa" w:w="3120"/>
          </w:tcPr>
          <w:p>
            <w:r>
              <w:rPr>
                <w:b/>
              </w:rPr>
            </w:r>
            <w:r>
              <w:rPr>
                <w:b/>
              </w:rPr>
              <w:t>Status</w:t>
            </w:r>
          </w:p>
        </w:tc>
      </w:tr>
      <w:tr>
        <w:tc>
          <w:tcPr>
            <w:tcW w:type="dxa" w:w="3120"/>
          </w:tcPr>
          <w:p>
            <w:r/>
            <w:r>
              <w:t>s.20</w:t>
            </w:r>
          </w:p>
        </w:tc>
        <w:tc>
          <w:tcPr>
            <w:tcW w:type="dxa" w:w="3120"/>
          </w:tcPr>
          <w:p>
            <w:r/>
            <w:r>
              <w:t>Central Government may specify agencies/officers for carrying out surveys, verifications and inspections in a SEZ</w:t>
            </w:r>
          </w:p>
        </w:tc>
        <w:tc>
          <w:tcPr>
            <w:tcW w:type="dxa" w:w="3120"/>
          </w:tcPr>
          <w:p>
            <w:r/>
            <w:r>
              <w:rPr>
                <w:b/>
              </w:rPr>
              <w:t>[Verified]</w:t>
            </w:r>
          </w:p>
        </w:tc>
      </w:tr>
      <w:tr>
        <w:tc>
          <w:tcPr>
            <w:tcW w:type="dxa" w:w="3120"/>
          </w:tcPr>
          <w:p>
            <w:r/>
            <w:r>
              <w:t>s.21</w:t>
            </w:r>
          </w:p>
        </w:tc>
        <w:tc>
          <w:tcPr>
            <w:tcW w:type="dxa" w:w="3120"/>
          </w:tcPr>
          <w:p>
            <w:r/>
            <w:r>
              <w:t>Single enforcement officer/agency for notified offences; specification of investigating agencies</w:t>
            </w:r>
          </w:p>
        </w:tc>
        <w:tc>
          <w:tcPr>
            <w:tcW w:type="dxa" w:w="3120"/>
          </w:tcPr>
          <w:p>
            <w:r/>
            <w:r>
              <w:rPr>
                <w:b/>
              </w:rPr>
              <w:t>[Verified]</w:t>
            </w:r>
          </w:p>
        </w:tc>
      </w:tr>
      <w:tr>
        <w:tc>
          <w:tcPr>
            <w:tcW w:type="dxa" w:w="3120"/>
          </w:tcPr>
          <w:p>
            <w:r/>
            <w:r>
              <w:t>s.22</w:t>
            </w:r>
          </w:p>
        </w:tc>
        <w:tc>
          <w:tcPr>
            <w:tcW w:type="dxa" w:w="3120"/>
          </w:tcPr>
          <w:p>
            <w:r/>
            <w:r>
              <w:t xml:space="preserve">Investigation, inspection, search or seizure </w:t>
            </w:r>
            <w:r>
              <w:rPr>
                <w:b/>
              </w:rPr>
              <w:t>in</w:t>
            </w:r>
            <w:r>
              <w:t xml:space="preserve"> a SEZ or </w:t>
            </w:r>
            <w:r>
              <w:rPr>
                <w:b/>
              </w:rPr>
              <w:t>in</w:t>
            </w:r>
            <w:r>
              <w:t xml:space="preserve"> a Unit only by an agency/officer specified under s.20 or s.21, </w:t>
            </w:r>
            <w:r>
              <w:rPr>
                <w:b/>
              </w:rPr>
              <w:t>with prior intimation to the Development Commissioner</w:t>
            </w:r>
            <w:r>
              <w:t xml:space="preserve">, and only on </w:t>
            </w:r>
            <w:r>
              <w:rPr>
                <w:b/>
              </w:rPr>
              <w:t>reasons recorded in writing</w:t>
            </w:r>
            <w:r>
              <w:t xml:space="preserve"> that a notified offence has been or is likely to be committed; first proviso — no such action by any other agency/officer without </w:t>
            </w:r>
            <w:r>
              <w:rPr>
                <w:b/>
              </w:rPr>
              <w:t>prior approval of the Development Commissioner</w:t>
            </w:r>
            <w:r>
              <w:t>; second proviso — an officer authorised by the Central Government may act without prior intimation or approval</w:t>
            </w:r>
          </w:p>
        </w:tc>
        <w:tc>
          <w:tcPr>
            <w:tcW w:type="dxa" w:w="3120"/>
          </w:tcPr>
          <w:p>
            <w:r/>
            <w:r>
              <w:rPr>
                <w:b/>
              </w:rPr>
              <w:t>[Verified]</w:t>
            </w:r>
          </w:p>
        </w:tc>
      </w:tr>
      <w:tr>
        <w:tc>
          <w:tcPr>
            <w:tcW w:type="dxa" w:w="3120"/>
          </w:tcPr>
          <w:p>
            <w:r/>
            <w:r>
              <w:t>s.51</w:t>
            </w:r>
          </w:p>
        </w:tc>
        <w:tc>
          <w:tcPr>
            <w:tcW w:type="dxa" w:w="3120"/>
          </w:tcPr>
          <w:p>
            <w:r/>
            <w:r>
              <w:t>Overriding effect of the SEZ Act over anything inconsistent in any other law</w:t>
            </w:r>
          </w:p>
        </w:tc>
        <w:tc>
          <w:tcPr>
            <w:tcW w:type="dxa" w:w="3120"/>
          </w:tcPr>
          <w:p>
            <w:r/>
            <w:r>
              <w:rPr>
                <w:b/>
              </w:rPr>
              <w:t>[Verified]</w:t>
            </w:r>
          </w:p>
        </w:tc>
      </w:tr>
      <w:tr>
        <w:tc>
          <w:tcPr>
            <w:tcW w:type="dxa" w:w="3120"/>
          </w:tcPr>
          <w:p>
            <w:r/>
            <w:r>
              <w:t>s.53(1)</w:t>
            </w:r>
          </w:p>
        </w:tc>
        <w:tc>
          <w:tcPr>
            <w:tcW w:type="dxa" w:w="3120"/>
          </w:tcPr>
          <w:p>
            <w:r/>
            <w:r>
              <w:t xml:space="preserve">A SEZ is deemed to be a territory </w:t>
            </w:r>
            <w:r>
              <w:rPr>
                <w:b/>
              </w:rPr>
              <w:t>outside the customs territory of India</w:t>
            </w:r>
            <w:r>
              <w:t xml:space="preserve"> for the purposes of undertaking authorised operations</w:t>
            </w:r>
          </w:p>
        </w:tc>
        <w:tc>
          <w:tcPr>
            <w:tcW w:type="dxa" w:w="3120"/>
          </w:tcPr>
          <w:p>
            <w:r/>
            <w:r>
              <w:rPr>
                <w:b/>
              </w:rPr>
              <w:t>[Verified]</w:t>
            </w:r>
          </w:p>
        </w:tc>
      </w:tr>
      <w:tr>
        <w:tc>
          <w:tcPr>
            <w:tcW w:type="dxa" w:w="3120"/>
          </w:tcPr>
          <w:p>
            <w:r/>
            <w:r>
              <w:t>s.26</w:t>
            </w:r>
          </w:p>
        </w:tc>
        <w:tc>
          <w:tcPr>
            <w:tcW w:type="dxa" w:w="3120"/>
          </w:tcPr>
          <w:p>
            <w:r/>
            <w:r>
              <w:t>Duty exemptions on goods imported into a SEZ or a Unit</w:t>
            </w:r>
          </w:p>
        </w:tc>
        <w:tc>
          <w:tcPr>
            <w:tcW w:type="dxa" w:w="3120"/>
          </w:tcPr>
          <w:p>
            <w:r/>
            <w:r>
              <w:rPr>
                <w:b/>
              </w:rPr>
              <w:t>[Verified]</w:t>
            </w:r>
          </w:p>
        </w:tc>
      </w:tr>
    </w:tbl>
    <w:p/>
    <w:p>
      <w:pPr>
        <w:jc w:val="both"/>
      </w:pPr>
      <w:r>
        <w:t xml:space="preserve">Note on the width of the s.22 plea: s.22 is </w:t>
      </w:r>
      <w:r>
        <w:rPr>
          <w:b/>
        </w:rPr>
        <w:t>territorial</w:t>
      </w:r>
      <w:r>
        <w:t xml:space="preserve"> — it governs action "in a Special Economic Zone or in a Unit". It therefore has no application to Consignment A, which never left the Air Cargo Complex, and full application to Consignment B.</w:t>
      </w:r>
    </w:p>
    <w:p>
      <w:pPr>
        <w:pStyle w:val="Heading3"/>
      </w:pPr>
      <w:r>
        <w:t>B. SEZ Rules, 2006</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Rule</w:t>
            </w:r>
          </w:p>
        </w:tc>
        <w:tc>
          <w:tcPr>
            <w:tcW w:type="dxa" w:w="4680"/>
          </w:tcPr>
          <w:p>
            <w:r>
              <w:rPr>
                <w:b/>
              </w:rPr>
            </w:r>
            <w:r>
              <w:rPr>
                <w:b/>
              </w:rPr>
              <w:t>Effect</w:t>
            </w:r>
          </w:p>
        </w:tc>
      </w:tr>
      <w:tr>
        <w:tc>
          <w:tcPr>
            <w:tcW w:type="dxa" w:w="4680"/>
          </w:tcPr>
          <w:p>
            <w:r/>
            <w:r>
              <w:t>Rule 29</w:t>
            </w:r>
          </w:p>
        </w:tc>
        <w:tc>
          <w:tcPr>
            <w:tcW w:type="dxa" w:w="4680"/>
          </w:tcPr>
          <w:p>
            <w:r/>
            <w:r>
              <w:t xml:space="preserve">Procedure for import by a Unit: Bill of Entry for home consumption in quintuplicate with the stamped endorsement "Special Economic Zone Cargo", filed before the </w:t>
            </w:r>
            <w:r>
              <w:rPr>
                <w:b/>
              </w:rPr>
              <w:t>Authorised Officer</w:t>
            </w:r>
            <w:r>
              <w:t xml:space="preserve">, who registers it, assigns a running annual serial number and assesses it on the transaction value; </w:t>
            </w:r>
            <w:r>
              <w:rPr>
                <w:b/>
              </w:rPr>
              <w:t>Rule 29(2) — the assessed/endorsed Bill of Entry is itself the permission to transfer the goods to the Zone</w:t>
            </w:r>
            <w:r>
              <w:t>, and the assessment needs no counter-signature of the Specified Officer</w:t>
            </w:r>
          </w:p>
        </w:tc>
      </w:tr>
      <w:tr>
        <w:tc>
          <w:tcPr>
            <w:tcW w:type="dxa" w:w="4680"/>
          </w:tcPr>
          <w:p>
            <w:r/>
            <w:r>
              <w:t>Rule 27(10)</w:t>
            </w:r>
          </w:p>
        </w:tc>
        <w:tc>
          <w:tcPr>
            <w:tcW w:type="dxa" w:w="4680"/>
          </w:tcPr>
          <w:p>
            <w:r/>
            <w:r>
              <w:t>Assessment and inward/outward movement on the basis of the Unit's self-declaration</w:t>
            </w:r>
          </w:p>
        </w:tc>
      </w:tr>
      <w:tr>
        <w:tc>
          <w:tcPr>
            <w:tcW w:type="dxa" w:w="4680"/>
          </w:tcPr>
          <w:p>
            <w:r/>
            <w:r>
              <w:t>Rule 47(5) (inserted by G.S.R. 772(E) dated 08.08.2016)</w:t>
            </w:r>
          </w:p>
        </w:tc>
        <w:tc>
          <w:tcPr>
            <w:tcW w:type="dxa" w:w="4680"/>
          </w:tcPr>
          <w:p>
            <w:r/>
            <w:r>
              <w:t xml:space="preserve">Assessment, re-assessment and adjudication in relation to a Unit vest in the jurisdictional Customs authority in the prescribed manner </w:t>
            </w:r>
            <w:r>
              <w:rPr>
                <w:b/>
              </w:rPr>
              <w:t>[To verify — read the gazette text before citing]</w:t>
            </w:r>
          </w:p>
        </w:tc>
      </w:tr>
      <w:tr>
        <w:tc>
          <w:tcPr>
            <w:tcW w:type="dxa" w:w="4680"/>
          </w:tcPr>
          <w:p>
            <w:r/>
            <w:r>
              <w:t>Rule 75</w:t>
            </w:r>
          </w:p>
        </w:tc>
        <w:tc>
          <w:tcPr>
            <w:tcW w:type="dxa" w:w="4680"/>
          </w:tcPr>
          <w:p>
            <w:r/>
            <w:r>
              <w:t>Self-certification/self-declaration regime for SEZ transactions</w:t>
            </w:r>
          </w:p>
        </w:tc>
      </w:tr>
      <w:tr>
        <w:tc>
          <w:tcPr>
            <w:tcW w:type="dxa" w:w="4680"/>
          </w:tcPr>
          <w:p>
            <w:r/>
            <w:r>
              <w:t>Rule 79</w:t>
            </w:r>
          </w:p>
        </w:tc>
        <w:tc>
          <w:tcPr>
            <w:tcW w:type="dxa" w:w="4680"/>
          </w:tcPr>
          <w:p>
            <w:r/>
            <w:r>
              <w:t>Periodic audit of SEZ units by Customs officers</w:t>
            </w:r>
          </w:p>
        </w:tc>
      </w:tr>
    </w:tbl>
    <w:p/>
    <w:p>
      <w:pPr>
        <w:pStyle w:val="Heading3"/>
      </w:pPr>
      <w:r>
        <w:t>C. Ministry of Commerce (SEZ Division) notifications of 05.08.2016 — F.No. C.1/1/2009-SEZ</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Instrument</w:t>
            </w:r>
          </w:p>
        </w:tc>
        <w:tc>
          <w:tcPr>
            <w:tcW w:type="dxa" w:w="3120"/>
          </w:tcPr>
          <w:p>
            <w:r>
              <w:rPr>
                <w:b/>
              </w:rPr>
            </w:r>
            <w:r>
              <w:rPr>
                <w:b/>
              </w:rPr>
              <w:t>Effect</w:t>
            </w:r>
          </w:p>
        </w:tc>
        <w:tc>
          <w:tcPr>
            <w:tcW w:type="dxa" w:w="3120"/>
          </w:tcPr>
          <w:p>
            <w:r>
              <w:rPr>
                <w:b/>
              </w:rPr>
            </w:r>
            <w:r>
              <w:rPr>
                <w:b/>
              </w:rPr>
              <w:t>Status</w:t>
            </w:r>
          </w:p>
        </w:tc>
      </w:tr>
      <w:tr>
        <w:tc>
          <w:tcPr>
            <w:tcW w:type="dxa" w:w="3120"/>
          </w:tcPr>
          <w:p>
            <w:r/>
            <w:r>
              <w:t>S.O. 2665(E) dated 05.08.2016</w:t>
            </w:r>
          </w:p>
        </w:tc>
        <w:tc>
          <w:tcPr>
            <w:tcW w:type="dxa" w:w="3120"/>
          </w:tcPr>
          <w:p>
            <w:r/>
            <w:r>
              <w:t>Specification of officers/agencies under ss.20/21</w:t>
            </w:r>
          </w:p>
        </w:tc>
        <w:tc>
          <w:tcPr>
            <w:tcW w:type="dxa" w:w="3120"/>
          </w:tcPr>
          <w:p>
            <w:r/>
            <w:r>
              <w:rPr>
                <w:b/>
              </w:rPr>
              <w:t>[To verify — cite only to the extent of the gazette text]</w:t>
            </w:r>
          </w:p>
        </w:tc>
      </w:tr>
      <w:tr>
        <w:tc>
          <w:tcPr>
            <w:tcW w:type="dxa" w:w="3120"/>
          </w:tcPr>
          <w:p>
            <w:r/>
            <w:r>
              <w:t>S.O. 2666(E) dated 05.08.2016</w:t>
            </w:r>
          </w:p>
        </w:tc>
        <w:tc>
          <w:tcPr>
            <w:tcW w:type="dxa" w:w="3120"/>
          </w:tcPr>
          <w:p>
            <w:r/>
            <w:r>
              <w:t xml:space="preserve">The </w:t>
            </w:r>
            <w:r>
              <w:rPr>
                <w:b/>
              </w:rPr>
              <w:t>Additional Director General, DRI</w:t>
            </w:r>
            <w:r>
              <w:t xml:space="preserve"> may act in a SEZ/Unit </w:t>
            </w:r>
            <w:r>
              <w:rPr>
                <w:b/>
              </w:rPr>
              <w:t>without prior intimation</w:t>
            </w:r>
            <w:r>
              <w:t>, on reasons recorded in writing, intimating the details to the Joint Secretary (SEZ), Department of Commerce within seven days</w:t>
            </w:r>
          </w:p>
        </w:tc>
        <w:tc>
          <w:tcPr>
            <w:tcW w:type="dxa" w:w="3120"/>
          </w:tcPr>
          <w:p>
            <w:r/>
            <w:r>
              <w:rPr>
                <w:b/>
              </w:rPr>
              <w:t>[To verify against gazette]</w:t>
            </w:r>
          </w:p>
        </w:tc>
      </w:tr>
      <w:tr>
        <w:tc>
          <w:tcPr>
            <w:tcW w:type="dxa" w:w="3120"/>
          </w:tcPr>
          <w:p>
            <w:r/>
            <w:r>
              <w:t>S.O. 2667(E) dated 05.08.2016</w:t>
            </w:r>
          </w:p>
        </w:tc>
        <w:tc>
          <w:tcPr>
            <w:tcW w:type="dxa" w:w="3120"/>
          </w:tcPr>
          <w:p>
            <w:r/>
            <w:r>
              <w:t xml:space="preserve">The </w:t>
            </w:r>
            <w:r>
              <w:rPr>
                <w:b/>
              </w:rPr>
              <w:t>jurisdictional Commissioner of Customs</w:t>
            </w:r>
            <w:r>
              <w:t xml:space="preserve"> may act in a SEZ/Unit for reasons recorded in writing and </w:t>
            </w:r>
            <w:r>
              <w:rPr>
                <w:b/>
              </w:rPr>
              <w:t>with prior intimation to the Development Commissioner</w:t>
            </w:r>
          </w:p>
        </w:tc>
        <w:tc>
          <w:tcPr>
            <w:tcW w:type="dxa" w:w="3120"/>
          </w:tcPr>
          <w:p>
            <w:r/>
            <w:r>
              <w:rPr>
                <w:b/>
              </w:rPr>
              <w:t>[To verify against gazette]</w:t>
            </w:r>
          </w:p>
        </w:tc>
      </w:tr>
    </w:tbl>
    <w:p/>
    <w:p>
      <w:pPr>
        <w:jc w:val="both"/>
      </w:pPr>
      <w:r>
        <w:t xml:space="preserve">Respondent No. 1 in Writ No. 2 (an Additional Commissioner heading SIIB) is neither the ADG, DRI nor the jurisdictional Commissioner. The plea to be taken is therefore </w:t>
      </w:r>
      <w:r>
        <w:rPr>
          <w:b/>
        </w:rPr>
        <w:t>compliance and production of the record</w:t>
      </w:r>
      <w:r>
        <w:t>, not an absolute bar.</w:t>
      </w:r>
    </w:p>
    <w:p>
      <w:pPr>
        <w:pStyle w:val="Heading3"/>
      </w:pPr>
      <w:r>
        <w:t>D. Department of Commerce instructions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Instrument</w:t>
            </w:r>
          </w:p>
        </w:tc>
        <w:tc>
          <w:tcPr>
            <w:tcW w:type="dxa" w:w="3120"/>
          </w:tcPr>
          <w:p>
            <w:r>
              <w:rPr>
                <w:b/>
              </w:rPr>
            </w:r>
            <w:r>
              <w:rPr>
                <w:b/>
              </w:rPr>
              <w:t>Effect</w:t>
            </w:r>
          </w:p>
        </w:tc>
        <w:tc>
          <w:tcPr>
            <w:tcW w:type="dxa" w:w="3120"/>
          </w:tcPr>
          <w:p>
            <w:r>
              <w:rPr>
                <w:b/>
              </w:rPr>
            </w:r>
            <w:r>
              <w:rPr>
                <w:b/>
              </w:rPr>
              <w:t>Status</w:t>
            </w:r>
          </w:p>
        </w:tc>
      </w:tr>
      <w:tr>
        <w:tc>
          <w:tcPr>
            <w:tcW w:type="dxa" w:w="3120"/>
          </w:tcPr>
          <w:p>
            <w:r/>
            <w:r>
              <w:rPr>
                <w:b/>
              </w:rPr>
              <w:t>Instruction No. 117 dated 24.09.2024</w:t>
            </w:r>
            <w:r>
              <w:t>, K-43022/24/2024-SEZ — "Guidelines for Operational Framework of FTWZ and Warehousing units in SEZ"</w:t>
            </w:r>
          </w:p>
        </w:tc>
        <w:tc>
          <w:tcPr>
            <w:tcW w:type="dxa" w:w="3120"/>
          </w:tcPr>
          <w:p>
            <w:r/>
            <w:r>
              <w:t xml:space="preserve">KYC of unit clients before the first transaction; CCTV across all FTWZ facilities with </w:t>
            </w:r>
            <w:r>
              <w:rPr>
                <w:b/>
              </w:rPr>
              <w:t>one year</w:t>
            </w:r>
            <w:r>
              <w:t xml:space="preserve"> data retention accessible to the DC; tamper-proof ERP/SAP; </w:t>
            </w:r>
            <w:r>
              <w:rPr>
                <w:b/>
              </w:rPr>
              <w:t>"manual entries/processing of Customs clearances is strictly prohibited"</w:t>
            </w:r>
            <w:r>
              <w:t xml:space="preserve"> and cargo clearance </w:t>
            </w:r>
            <w:r>
              <w:rPr>
                <w:b/>
              </w:rPr>
              <w:t>only through designated modules</w:t>
            </w:r>
            <w:r>
              <w:t xml:space="preserve"> (SEZ-Online and ICEGATE being interlinked for trans-shipment); Customs officers to access NIDB while assessing cargo; periodic physical verification by DCs; audit of FTWZ units under Rule 79; watch list of high-risk commodities</w:t>
            </w:r>
          </w:p>
        </w:tc>
        <w:tc>
          <w:tcPr>
            <w:tcW w:type="dxa" w:w="3120"/>
          </w:tcPr>
          <w:p>
            <w:r/>
            <w:r>
              <w:rPr>
                <w:b/>
              </w:rPr>
              <w:t>[Verified — full text read]</w:t>
            </w:r>
          </w:p>
        </w:tc>
      </w:tr>
      <w:tr>
        <w:tc>
          <w:tcPr>
            <w:tcW w:type="dxa" w:w="3120"/>
          </w:tcPr>
          <w:p>
            <w:r/>
            <w:r>
              <w:t>Instruction No. 96</w:t>
            </w:r>
          </w:p>
        </w:tc>
        <w:tc>
          <w:tcPr>
            <w:tcW w:type="dxa" w:w="3120"/>
          </w:tcPr>
          <w:p>
            <w:r/>
            <w:r>
              <w:t xml:space="preserve">Disposal of unclaimed/abandoned goods in SEZs — </w:t>
            </w:r>
            <w:r>
              <w:rPr>
                <w:b/>
              </w:rPr>
              <w:t>not relevant; dropped at the client's instruction</w:t>
            </w:r>
          </w:p>
        </w:tc>
        <w:tc>
          <w:tcPr>
            <w:tcW w:type="dxa" w:w="3120"/>
          </w:tcPr>
          <w:p>
            <w:r/>
            <w:r>
              <w:rPr>
                <w:b/>
              </w:rPr>
              <w:t>[Verified as irrelevant]</w:t>
            </w:r>
          </w:p>
        </w:tc>
      </w:tr>
      <w:tr>
        <w:tc>
          <w:tcPr>
            <w:tcW w:type="dxa" w:w="3120"/>
          </w:tcPr>
          <w:p>
            <w:r/>
            <w:r>
              <w:t>Notification S.No. 77(F) dated 13.01.2010</w:t>
            </w:r>
          </w:p>
        </w:tc>
        <w:tc>
          <w:tcPr>
            <w:tcW w:type="dxa" w:w="3120"/>
          </w:tcPr>
          <w:p>
            <w:r/>
            <w:r>
              <w:t>Jurisdictional Development Commissioner notified as Enforcement Officer for notified offences in a SEZ</w:t>
            </w:r>
          </w:p>
        </w:tc>
        <w:tc>
          <w:tcPr>
            <w:tcW w:type="dxa" w:w="3120"/>
          </w:tcPr>
          <w:p>
            <w:r/>
            <w:r>
              <w:t>*</w:t>
            </w:r>
            <w:r>
              <w:rPr>
                <w:i/>
              </w:rPr>
              <w:t xml:space="preserve">[Reported — via </w:t>
            </w:r>
            <w:r>
              <w:t>Meenakshi International</w:t>
            </w:r>
            <w:r>
              <w:rPr>
                <w:i/>
              </w:rPr>
              <w:t>]</w:t>
            </w:r>
            <w:r>
              <w:t>*</w:t>
            </w:r>
          </w:p>
        </w:tc>
      </w:tr>
      <w:tr>
        <w:tc>
          <w:tcPr>
            <w:tcW w:type="dxa" w:w="3120"/>
          </w:tcPr>
          <w:p>
            <w:r/>
            <w:r>
              <w:t>DoC Instruction No. 34</w:t>
            </w:r>
          </w:p>
        </w:tc>
        <w:tc>
          <w:tcPr>
            <w:tcW w:type="dxa" w:w="3120"/>
          </w:tcPr>
          <w:p>
            <w:r/>
            <w:r>
              <w:t>No agency to carry out inspection, search, seizure or investigation without the approval of the DC unless notified under ss.20/21</w:t>
            </w:r>
          </w:p>
        </w:tc>
        <w:tc>
          <w:tcPr>
            <w:tcW w:type="dxa" w:w="3120"/>
          </w:tcPr>
          <w:p>
            <w:r/>
            <w:r>
              <w:rPr>
                <w:b/>
              </w:rPr>
              <w:t>[To verify]</w:t>
            </w:r>
          </w:p>
        </w:tc>
      </w:tr>
    </w:tbl>
    <w:p/>
    <w:p>
      <w:pPr>
        <w:jc w:val="both"/>
      </w:pPr>
      <w:r>
        <w:t xml:space="preserve">Instruction No. 117 cuts both ways and must be handled squarely: it shows that scrutiny of FTWZ cargo, including valuation scrutiny against NIDB, is contemplated — but it also shows that the framework is one of </w:t>
      </w:r>
      <w:r>
        <w:rPr>
          <w:b/>
        </w:rPr>
        <w:t>DC-supervised, module-based, documented</w:t>
      </w:r>
      <w:r>
        <w:t xml:space="preserve"> processing, in which an undocumented physical hold and unrecorded sampling by an investigation wing has no place. Note also the CCTV/one-year retention direction: the FTWZ footage of 10.08.2026 exists and should be preserved and called for.</w:t>
      </w:r>
    </w:p>
    <w:p>
      <w:pPr>
        <w:pStyle w:val="Heading2"/>
      </w:pPr>
      <w:r>
        <w:t>PART IV — WHAT ACTUALLY CREATES THE "Z" TYPE BILL OF ENTRY</w:t>
      </w:r>
    </w:p>
    <w:p>
      <w:pPr>
        <w:jc w:val="both"/>
      </w:pPr>
      <w:r>
        <w:t xml:space="preserve">There is </w:t>
      </w:r>
      <w:r>
        <w:rPr>
          <w:b/>
        </w:rPr>
        <w:t>no notification that prescribes a "Z-type Bill of Entry" as such.</w:t>
      </w:r>
      <w:r>
        <w:t xml:space="preserve"> "Z" is a document-type code in the Customs Automated System (ICES/ICEGATE). Its legal chain is:</w:t>
      </w:r>
    </w:p>
    <w:p>
      <w:pPr>
        <w:pStyle w:val="ListNumber"/>
      </w:pPr>
      <w:r>
        <w:rPr>
          <w:b/>
        </w:rPr>
        <w:t>Rule 29, SEZ Rules, 2006</w:t>
      </w:r>
      <w:r>
        <w:t xml:space="preserve"> — the substantive procedure and the only provision that governs the filing; Rule 29(2) makes the assessed/endorsed BoE the permission to move the goods into the Zone. </w:t>
      </w:r>
      <w:r>
        <w:rPr>
          <w:b/>
        </w:rPr>
        <w:t>[Verified]</w:t>
      </w:r>
    </w:p>
    <w:p>
      <w:pPr>
        <w:pStyle w:val="ListNumber"/>
      </w:pPr>
      <w:r>
        <w:rPr>
          <w:b/>
        </w:rPr>
        <w:t>Notification No. 36/2018-Customs (N.T.) dated 11.05.2018, G.S.R. 447(E)</w:t>
      </w:r>
      <w:r>
        <w:t xml:space="preserve"> — Bill of Entry (Electronic Integrated Declaration and Paperless Processing) Regulations, 2018, made under s.157 read with ss.46–47: the BoE is filed electronically and is deemed filed with self-assessment completed on entry of the declaration on the Customs Automated System. </w:t>
      </w:r>
      <w:r>
        <w:rPr>
          <w:b/>
        </w:rPr>
        <w:t>[Verified]</w:t>
      </w:r>
    </w:p>
    <w:p>
      <w:pPr>
        <w:pStyle w:val="ListNumber"/>
      </w:pPr>
      <w:r>
        <w:rPr>
          <w:b/>
        </w:rPr>
        <w:t>Department of Commerce (SEZ Division) letter No. J.16/3/2007-SEZ Vol-V dated 22.06.2024</w:t>
      </w:r>
      <w:r>
        <w:t xml:space="preserve"> (on DG Systems, CBIC e-mail dated 19.06.2024) — filing of import/export documents for </w:t>
      </w:r>
      <w:r>
        <w:rPr>
          <w:b/>
        </w:rPr>
        <w:t>all non-IT/ITES SEZs and FTWZs moves to ICEGATE w.e.f. 01.07.2024</w:t>
      </w:r>
      <w:r>
        <w:t xml:space="preserve">; no further filing on the NSDL SEZ-Online system; model Public Notice annexed, "Roll out of Indian Customs EDI System — ICEGATE for Imports and Exports at SEZs". </w:t>
      </w:r>
      <w:r>
        <w:rPr>
          <w:b/>
        </w:rPr>
        <w:t>[Verified]</w:t>
      </w:r>
    </w:p>
    <w:p>
      <w:pPr>
        <w:pStyle w:val="ListNumber"/>
      </w:pPr>
      <w:r>
        <w:rPr>
          <w:b/>
        </w:rPr>
        <w:t>Same file No., clarification dated 29.06.2024</w:t>
      </w:r>
      <w:r>
        <w:t xml:space="preserve"> — transition; RoDTEP only for ICEGATE filers; SEZ-Online permitted till 15.07.2024; and expressly: </w:t>
      </w:r>
      <w:r>
        <w:rPr>
          <w:i/>
        </w:rPr>
        <w:t>"The 'T' type B/E in ICEGATE meant for DTA clearance from trading/warehousing unit cannot be filed unless there is a corresponding 'Z' type B/E, such details being mandatory."</w:t>
      </w:r>
      <w:r>
        <w:t xml:space="preserve"> </w:t>
      </w:r>
      <w:r>
        <w:rPr>
          <w:b/>
        </w:rPr>
        <w:t>[Verified]</w:t>
      </w:r>
    </w:p>
    <w:p>
      <w:pPr>
        <w:pStyle w:val="ListNumber"/>
      </w:pPr>
      <w:r>
        <w:rPr>
          <w:b/>
        </w:rPr>
        <w:t>ICEGATE "FAQs on SEZ filing (Part-I)", Query No. 9</w:t>
      </w:r>
      <w:r>
        <w:t xml:space="preserve"> — "What are the types of BE available for SEZ in ICEGATE 2.0?" — a </w:t>
      </w:r>
      <w:r>
        <w:rPr>
          <w:b/>
        </w:rPr>
        <w:t>"Z" type Bill of Entry is filed for importing goods from foreign territory to a SEZ unit, and is similar to a Warehouse / Into-Bond Bill of Entry filed at a Customs port</w:t>
      </w:r>
      <w:r>
        <w:t>; the same reply deals with IGM and trans-shipment permission for moving cargo to the SEZ from the gateway port. *</w:t>
      </w:r>
      <w:r>
        <w:rPr>
          <w:i/>
        </w:rPr>
        <w:t xml:space="preserve">[Reported — quoted verbatim in the AAAR order in </w:t>
      </w:r>
      <w:r>
        <w:t>Panasonic Life Solutions</w:t>
      </w:r>
      <w:r>
        <w:rPr>
          <w:i/>
        </w:rPr>
        <w:t>; obtain a dated printout of the ICEGATE FAQ page as an exhibit]</w:t>
      </w:r>
      <w:r>
        <w:t>*</w:t>
      </w:r>
    </w:p>
    <w:p>
      <w:pPr>
        <w:pStyle w:val="ListNumber"/>
      </w:pPr>
      <w:r>
        <w:rPr>
          <w:b/>
        </w:rPr>
        <w:t>"USER MANUAL — SEZ WEB FORMS (ICEGATE)", Central Board of Indirect Taxes and Customs, dated 26.06.2023, Version 1.01</w:t>
      </w:r>
      <w:r>
        <w:t xml:space="preserve"> — the official ICEGATE 2.0 manual for the SEZ Bill of Entry web form. </w:t>
      </w:r>
      <w:r>
        <w:rPr>
          <w:b/>
        </w:rPr>
        <w:t>[Verified — full text read; 28 pages]</w:t>
      </w:r>
      <w:r>
        <w:t xml:space="preserve"> Its material contents are set out in Part IV-A below.</w:t>
      </w:r>
    </w:p>
    <w:p>
      <w:pPr>
        <w:pStyle w:val="ListNumber"/>
      </w:pPr>
      <w:r>
        <w:rPr>
          <w:b/>
        </w:rPr>
        <w:t>DG (Systems &amp; Data Management), CBIC advisory — "Process of customs clearance of Imported goods from foreign country to SEZ unit in ICES"</w:t>
      </w:r>
      <w:r>
        <w:t xml:space="preserve"> (46 pages, with sample Z, T and M type Bills of Entry and the officer-role screens). </w:t>
      </w:r>
      <w:r>
        <w:rPr>
          <w:b/>
        </w:rPr>
        <w:t>[Verified — full text read]</w:t>
      </w:r>
      <w:r>
        <w:t xml:space="preserve"> Its material contents are set out in Part IV-A below.</w:t>
      </w:r>
    </w:p>
    <w:p>
      <w:pPr>
        <w:pStyle w:val="ListNumber"/>
      </w:pPr>
      <w:r>
        <w:rPr>
          <w:b/>
        </w:rPr>
        <w:t>Other DG Systems/ICEGATE SEZ advisories</w:t>
      </w:r>
      <w:r>
        <w:t xml:space="preserve"> — "SEZ Goods Movement on ICEGATE 2.0", "SEZ DTA Procurement", "ONLINE PAYMENT OF CUSTOMS DUTY (SEZ to DTA Bill of Entry Transactions)", "SEZ Registration Amendment", "Advisory for SEZ Registration on ICEGATE 2.0" — all hosted in the ICEGATE Advisory index on the SEZ websites. </w:t>
      </w:r>
      <w:r>
        <w:rPr>
          <w:b/>
        </w:rPr>
        <w:t>[Reported — index read and verified; download the individual advisories that are actually relied upon]</w:t>
      </w:r>
    </w:p>
    <w:p>
      <w:pPr>
        <w:pStyle w:val="ListNumber"/>
      </w:pPr>
      <w:r>
        <w:rPr>
          <w:b/>
        </w:rPr>
        <w:t>ICES Advisory No. 13/2026 (DG Systems) and the corresponding Custom House Public Notices</w:t>
      </w:r>
      <w:r>
        <w:t xml:space="preserve"> on automated SEZ ↔ Customs Bonded Warehouse movement — the 'Z' type BE is the document by which a SEZ unit receives goods, and a 'W' type BE with the 'Z' BE reference is used for movement to a bonded warehouse; importer type "T" for as-is clearance and "M" for post-manufacture clearance. </w:t>
      </w:r>
      <w:r>
        <w:rPr>
          <w:b/>
        </w:rPr>
        <w:t>[Reported — obtain the advisory and the Chennai Public Notice]</w:t>
      </w:r>
    </w:p>
    <w:p>
      <w:pPr>
        <w:pStyle w:val="ListNumber"/>
      </w:pPr>
      <w:r>
        <w:rPr>
          <w:b/>
        </w:rPr>
        <w:t>Commissionerate Public Notices</w:t>
      </w:r>
      <w:r>
        <w:t xml:space="preserve"> implementing the ICEGATE roll-out at SEZs, and the Chennai Air Cargo Complex Public Notice on </w:t>
      </w:r>
      <w:r>
        <w:rPr>
          <w:b/>
        </w:rPr>
        <w:t>movement of SEZ/FTWZ cargo out of ACC</w:t>
      </w:r>
      <w:r>
        <w:t xml:space="preserve"> — this names the officer competent to permit the movement, which is not SIIB. </w:t>
      </w:r>
      <w:r>
        <w:rPr>
          <w:b/>
        </w:rPr>
        <w:t>[Not traced online — to be obtained from the Commissionerate; important for Writ No. 1]</w:t>
      </w:r>
    </w:p>
    <w:p>
      <w:pPr>
        <w:jc w:val="both"/>
      </w:pPr>
      <w:r>
        <w:t xml:space="preserve">Codes: </w:t>
      </w:r>
      <w:r>
        <w:rPr>
          <w:b/>
        </w:rPr>
        <w:t>Z</w:t>
      </w:r>
      <w:r>
        <w:t xml:space="preserve"> = import into SEZ/FTWZ; </w:t>
      </w:r>
      <w:r>
        <w:rPr>
          <w:b/>
        </w:rPr>
        <w:t>T</w:t>
      </w:r>
      <w:r>
        <w:t xml:space="preserve"> = DTA sale from a trading/warehousing unit; </w:t>
      </w:r>
      <w:r>
        <w:rPr>
          <w:b/>
        </w:rPr>
        <w:t>M</w:t>
      </w:r>
      <w:r>
        <w:t xml:space="preserve"> = DTA sale from a manufacturing unit; </w:t>
      </w:r>
      <w:r>
        <w:rPr>
          <w:b/>
        </w:rPr>
        <w:t>V</w:t>
      </w:r>
      <w:r>
        <w:t xml:space="preserve"> = inter-SEZ transfer; </w:t>
      </w:r>
      <w:r>
        <w:rPr>
          <w:b/>
        </w:rPr>
        <w:t>W</w:t>
      </w:r>
      <w:r>
        <w:t xml:space="preserve"> = warehouse (bonded) movement.</w:t>
      </w:r>
    </w:p>
    <w:p>
      <w:pPr>
        <w:jc w:val="both"/>
      </w:pPr>
      <w:r>
        <w:rPr>
          <w:b/>
        </w:rPr>
        <w:t>The negative proposition to plead:</w:t>
      </w:r>
      <w:r>
        <w:t xml:space="preserve"> none of these instruments — Rule 29, the 2018 Regulations, the letters of 22.06.2024 and 29.06.2024, the ICEGATE advisories or any Public Notice — confers on any officer a power to withhold, suspend or keep in abeyance a Bill of Entry that has already been assessed, or to stop the movement of the goods under it. The only statutory routes are s.17(4)/(5), s.18 and s.110.</w:t>
      </w:r>
    </w:p>
    <w:p>
      <w:pPr>
        <w:pStyle w:val="Heading2"/>
      </w:pPr>
      <w:r>
        <w:t>PART IV-A — THE ICEGATE 2.0 SEZ WEB FORMS MANUAL AND THE DG SYSTEMS ADVISORY: WHAT THEY ACTUALLY PRESCRIBE</w:t>
      </w:r>
    </w:p>
    <w:p>
      <w:pPr>
        <w:jc w:val="both"/>
      </w:pPr>
      <w:r>
        <w:t xml:space="preserve">Both documents have now been read in full and both are official CBIC documents. Together they are the best available proof of the </w:t>
      </w:r>
      <w:r>
        <w:rPr>
          <w:b/>
        </w:rPr>
        <w:t>prescribed sequence</w:t>
      </w:r>
      <w:r>
        <w:t xml:space="preserve"> for a Z-type consignment, and they show that what was done at the Air Cargo Complex on 07.08.2026 has no place in that sequence.</w:t>
      </w:r>
    </w:p>
    <w:p>
      <w:pPr>
        <w:pStyle w:val="Heading3"/>
      </w:pPr>
      <w:r>
        <w:t xml:space="preserve">1. The manual — "User Manual, SEZ Web Forms (ICEGATE)", CBIC, 26.06.2023, Version 1.01 </w:t>
      </w:r>
      <w:r>
        <w:rPr>
          <w:b/>
        </w:rPr>
        <w:t>[Verified]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Clause / place</w:t>
            </w:r>
          </w:p>
        </w:tc>
        <w:tc>
          <w:tcPr>
            <w:tcW w:type="dxa" w:w="3120"/>
          </w:tcPr>
          <w:p>
            <w:r>
              <w:rPr>
                <w:b/>
              </w:rPr>
            </w:r>
            <w:r>
              <w:rPr>
                <w:b/>
              </w:rPr>
              <w:t>What it says</w:t>
            </w:r>
          </w:p>
        </w:tc>
        <w:tc>
          <w:tcPr>
            <w:tcW w:type="dxa" w:w="3120"/>
          </w:tcPr>
          <w:p>
            <w:r>
              <w:rPr>
                <w:b/>
              </w:rPr>
            </w:r>
            <w:r>
              <w:rPr>
                <w:b/>
              </w:rPr>
              <w:t>Use</w:t>
            </w:r>
          </w:p>
        </w:tc>
      </w:tr>
      <w:tr>
        <w:tc>
          <w:tcPr>
            <w:tcW w:type="dxa" w:w="3120"/>
          </w:tcPr>
          <w:p>
            <w:r/>
            <w:r>
              <w:t>§3 (Overview)</w:t>
            </w:r>
          </w:p>
        </w:tc>
        <w:tc>
          <w:tcPr>
            <w:tcW w:type="dxa" w:w="3120"/>
          </w:tcPr>
          <w:p>
            <w:r/>
            <w:r>
              <w:t xml:space="preserve">With the addition of the SEZ type Bill of Entry, the </w:t>
            </w:r>
            <w:r>
              <w:rPr>
                <w:b/>
              </w:rPr>
              <w:t>Bill of Entry message format remains the same</w:t>
            </w:r>
            <w:r>
              <w:t xml:space="preserve">, but the data validations change with the Z and T type, ICEGATE validating structure and fields and </w:t>
            </w:r>
            <w:r>
              <w:rPr>
                <w:b/>
              </w:rPr>
              <w:t>ICES doing the data validation</w:t>
            </w:r>
          </w:p>
        </w:tc>
        <w:tc>
          <w:tcPr>
            <w:tcW w:type="dxa" w:w="3120"/>
          </w:tcPr>
          <w:p>
            <w:r/>
            <w:r>
              <w:t>The "Z" is a validation/document code within one and the same statutory Bill of Entry — it is not a lesser or informal document, and it is not a species of clearance outside the Act</w:t>
            </w:r>
          </w:p>
        </w:tc>
      </w:tr>
      <w:tr>
        <w:tc>
          <w:tcPr>
            <w:tcW w:type="dxa" w:w="3120"/>
          </w:tcPr>
          <w:p>
            <w:r/>
            <w:r>
              <w:t>§5.3</w:t>
            </w:r>
          </w:p>
        </w:tc>
        <w:tc>
          <w:tcPr>
            <w:tcW w:type="dxa" w:w="3120"/>
          </w:tcPr>
          <w:p>
            <w:r/>
            <w:r>
              <w:t xml:space="preserve">On selecting "SEZ Bill of Entry" only two types are available: </w:t>
            </w:r>
            <w:r>
              <w:rPr>
                <w:b/>
              </w:rPr>
              <w:t>"Z type BOE :- SEZ BE (FTA-SEZ)"</w:t>
            </w:r>
            <w:r>
              <w:t xml:space="preserve"> and </w:t>
            </w:r>
            <w:r>
              <w:rPr>
                <w:b/>
              </w:rPr>
              <w:t>"T type BOE :- SEZ (DTA Sales – Trading)"</w:t>
            </w:r>
          </w:p>
        </w:tc>
        <w:tc>
          <w:tcPr>
            <w:tcW w:type="dxa" w:w="3120"/>
          </w:tcPr>
          <w:p>
            <w:r/>
            <w:r>
              <w:t>Confirms the code meanings pleaded</w:t>
            </w:r>
          </w:p>
        </w:tc>
      </w:tr>
      <w:tr>
        <w:tc>
          <w:tcPr>
            <w:tcW w:type="dxa" w:w="3120"/>
          </w:tcPr>
          <w:p>
            <w:r/>
            <w:r>
              <w:t>§5.3.2, Segment-1</w:t>
            </w:r>
          </w:p>
        </w:tc>
        <w:tc>
          <w:tcPr>
            <w:tcW w:type="dxa" w:w="3120"/>
          </w:tcPr>
          <w:p>
            <w:r/>
            <w:r>
              <w:t xml:space="preserve">The first segment of the Z-type form is </w:t>
            </w:r>
            <w:r>
              <w:rPr>
                <w:b/>
              </w:rPr>
              <w:t>"General and Warehouse Details"</w:t>
            </w:r>
            <w:r>
              <w:t xml:space="preserve"> — IEC, importer name and address, </w:t>
            </w:r>
            <w:r>
              <w:rPr>
                <w:b/>
              </w:rPr>
              <w:t>Custom House Code where the BE is getting filed</w:t>
            </w:r>
            <w:r>
              <w:t>, BE type, broker code, country of origin</w:t>
            </w:r>
          </w:p>
        </w:tc>
        <w:tc>
          <w:tcPr>
            <w:tcW w:type="dxa" w:w="3120"/>
          </w:tcPr>
          <w:p>
            <w:r/>
            <w:r>
              <w:t>The form is a warehousing document filed at the SEZ Custom House code, not at the gateway</w:t>
            </w:r>
          </w:p>
        </w:tc>
      </w:tr>
      <w:tr>
        <w:tc>
          <w:tcPr>
            <w:tcW w:type="dxa" w:w="3120"/>
          </w:tcPr>
          <w:p>
            <w:r/>
            <w:r>
              <w:t>§5.3.2, Segments 4 and 5</w:t>
            </w:r>
          </w:p>
        </w:tc>
        <w:tc>
          <w:tcPr>
            <w:tcW w:type="dxa" w:w="3120"/>
          </w:tcPr>
          <w:p>
            <w:r/>
            <w:r>
              <w:rPr>
                <w:b/>
              </w:rPr>
              <w:t>Bond details</w:t>
            </w:r>
            <w:r>
              <w:t xml:space="preserve"> (bond number, bond code, Custom port of registration; multiple bonds possible) and, in the alternative, </w:t>
            </w:r>
            <w:r>
              <w:rPr>
                <w:b/>
              </w:rPr>
              <w:t>certificate in lieu of bond</w:t>
            </w:r>
          </w:p>
        </w:tc>
        <w:tc>
          <w:tcPr>
            <w:tcW w:type="dxa" w:w="3120"/>
          </w:tcPr>
          <w:p>
            <w:r/>
            <w:r>
              <w:t>The revenue on a Z-type BoE is secured by the Unit's registered bond — the answer to any "interest of revenue" objection to release</w:t>
            </w:r>
          </w:p>
        </w:tc>
      </w:tr>
      <w:tr>
        <w:tc>
          <w:tcPr>
            <w:tcW w:type="dxa" w:w="3120"/>
          </w:tcPr>
          <w:p>
            <w:r/>
            <w:r>
              <w:t>§5.3.2, Segments 6–7</w:t>
            </w:r>
          </w:p>
        </w:tc>
        <w:tc>
          <w:tcPr>
            <w:tcW w:type="dxa" w:w="3120"/>
          </w:tcPr>
          <w:p>
            <w:r/>
            <w:r>
              <w:t>IGM particulars (IGM no./date, inward date, AWB/BL, HAWB/HBL, packages, gross weight) and container/seal details</w:t>
            </w:r>
          </w:p>
        </w:tc>
        <w:tc>
          <w:tcPr>
            <w:tcW w:type="dxa" w:w="3120"/>
          </w:tcPr>
          <w:p>
            <w:r/>
            <w:r>
              <w:t>The system already holds the package and seal record against which any drawal of samples must be reconciled</w:t>
            </w:r>
          </w:p>
        </w:tc>
      </w:tr>
    </w:tbl>
    <w:p/>
    <w:p>
      <w:pPr>
        <w:pStyle w:val="Heading3"/>
      </w:pPr>
      <w:r>
        <w:t xml:space="preserve">2. The DG Systems advisory — "Process of customs clearance of Imported goods from foreign country to SEZ unit in ICES" </w:t>
      </w:r>
      <w:r>
        <w:rPr>
          <w:b/>
        </w:rPr>
        <w:t>[Verified]</w:t>
      </w:r>
    </w:p>
    <w:p>
      <w:pPr>
        <w:jc w:val="both"/>
      </w:pPr>
      <w:r>
        <w:rPr>
          <w:b/>
        </w:rPr>
        <w:t>(a) The prescribed sequence, in the Department's own words:</w:t>
      </w:r>
    </w:p>
    <w:p>
      <w:pPr>
        <w:ind w:left="720"/>
      </w:pPr>
      <w:r>
        <w:rPr>
          <w:i/>
        </w:rPr>
        <w:t xml:space="preserve">"For imported goods, complete process in ICES would be as follows: Filing of IGM (by shipping line) → Filing of bill of entry (by importer) → Assessment of bill of entry (by officer through APR &amp; ACL roles) → </w:t>
      </w:r>
      <w:r>
        <w:rPr>
          <w:b/>
          <w:i/>
        </w:rPr>
        <w:t>Transhipment permission at gateway port/airport → Registration of goods at SEZ (by officer through AAI role) → Examination/inspection of goods (by officer through INS role)</w:t>
      </w:r>
      <w:r>
        <w:rPr>
          <w:i/>
        </w:rPr>
        <w:t xml:space="preserve"> → Out of charge (by officer through SUP role)"</w:t>
      </w:r>
    </w:p>
    <w:p>
      <w:pPr>
        <w:jc w:val="both"/>
      </w:pPr>
      <w:r>
        <w:t xml:space="preserve">This is the single most useful sentence found so far. On the Department's own process document, </w:t>
      </w:r>
      <w:r>
        <w:rPr>
          <w:b/>
        </w:rPr>
        <w:t>examination and inspection of the goods come after the goods have been moved to the Zone and registered there</w:t>
      </w:r>
      <w:r>
        <w:t xml:space="preserve"> — exactly as the MEPZ SOP for Blister Copper requires examination and sampling "at the time of warehousing" and by the Authorised Officer. The events of 07.08.2026 at the Air Cargo Complex — drawal of samples at the gateway, before trans-shipment and before registration at the Zone — invert the prescribed sequence and were done by an officer holding none of the ICES roles (APR/ACL, AAI, INS, SUP) to which the function is assigned.</w:t>
      </w:r>
    </w:p>
    <w:p>
      <w:pPr>
        <w:jc w:val="both"/>
      </w:pPr>
      <w:r>
        <w:rPr>
          <w:b/>
        </w:rPr>
        <w:t>(b) The nature of the document:</w:t>
      </w:r>
    </w:p>
    <w:p>
      <w:pPr>
        <w:ind w:left="720"/>
      </w:pPr>
      <w:r>
        <w:rPr>
          <w:i/>
        </w:rPr>
        <w:t xml:space="preserve">"For importing goods from foreign territory to the SEZ unit, 'Z' type bill of entry has been developed in ICES. </w:t>
      </w:r>
      <w:r>
        <w:rPr>
          <w:b/>
          <w:i/>
        </w:rPr>
        <w:t>The bill of entry format is similar to a warehouse bill of entry filed at a customs port.</w:t>
      </w:r>
      <w:r>
        <w:rPr>
          <w:i/>
        </w:rPr>
        <w:t>"</w:t>
      </w:r>
    </w:p>
    <w:p>
      <w:pPr>
        <w:jc w:val="both"/>
      </w:pPr>
      <w:r>
        <w:t>Confirms from a primary CBIC source what the ICEGATE FAQ says — the goods are warehoused, not cleared for home consumption, and no duty arises at this stage.</w:t>
      </w:r>
    </w:p>
    <w:p>
      <w:pPr>
        <w:jc w:val="both"/>
      </w:pPr>
      <w:r>
        <w:rPr>
          <w:b/>
        </w:rPr>
        <w:t>(c) Salient features of the Z-type BoE that help us: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Feature (verbatim or close paraphrase)</w:t>
            </w:r>
          </w:p>
        </w:tc>
        <w:tc>
          <w:tcPr>
            <w:tcW w:type="dxa" w:w="4680"/>
          </w:tcPr>
          <w:p>
            <w:r>
              <w:rPr>
                <w:b/>
              </w:rPr>
            </w:r>
            <w:r>
              <w:rPr>
                <w:b/>
              </w:rPr>
              <w:t>Use in the writ</w:t>
            </w:r>
          </w:p>
        </w:tc>
      </w:tr>
      <w:tr>
        <w:tc>
          <w:tcPr>
            <w:tcW w:type="dxa" w:w="4680"/>
          </w:tcPr>
          <w:p>
            <w:r/>
            <w:r>
              <w:t xml:space="preserve">"A 'Z' type bill of entry </w:t>
            </w:r>
            <w:r>
              <w:rPr>
                <w:b/>
              </w:rPr>
              <w:t>can be filed at any SEZ location against a line of the IGM irrespective of the port of destination</w:t>
            </w:r>
            <w:r>
              <w:t xml:space="preserve"> declared in the IGM" (example given: IGM destination INSSA1, Z-type BoE filed at </w:t>
            </w:r>
            <w:r>
              <w:rPr>
                <w:b/>
              </w:rPr>
              <w:t>INMAA6 for a unit at MEPZ SEZ</w:t>
            </w:r>
            <w:r>
              <w:t>)</w:t>
            </w:r>
          </w:p>
        </w:tc>
        <w:tc>
          <w:tcPr>
            <w:tcW w:type="dxa" w:w="4680"/>
          </w:tcPr>
          <w:p>
            <w:r/>
            <w:r>
              <w:t>The jurisdiction over the consignment is the SEZ location's, chosen by the filing; the gateway formation is not the assessing or examining authority. The illustration in the advisory is the very port code of MEPZ SEZ</w:t>
            </w:r>
          </w:p>
        </w:tc>
      </w:tr>
      <w:tr>
        <w:tc>
          <w:tcPr>
            <w:tcW w:type="dxa" w:w="4680"/>
          </w:tcPr>
          <w:p>
            <w:r/>
            <w:r>
              <w:t>"</w:t>
            </w:r>
            <w:r>
              <w:rPr>
                <w:b/>
              </w:rPr>
              <w:t>Transhipment permission</w:t>
            </w:r>
            <w:r>
              <w:t xml:space="preserve"> for moving the cargo to SEZ from gateway port would be provided at gateway port/airport, if the destination mentioned in IGM is either SEZ location or gateway port"</w:t>
            </w:r>
          </w:p>
        </w:tc>
        <w:tc>
          <w:tcPr>
            <w:tcW w:type="dxa" w:w="4680"/>
          </w:tcPr>
          <w:p>
            <w:r/>
            <w:r>
              <w:t>Movement out of the Air Cargo Complex is a defined, system-driven permission — a ministerial act on the assessed BoE, not a discretion of an intelligence wing</w:t>
            </w:r>
          </w:p>
        </w:tc>
      </w:tr>
      <w:tr>
        <w:tc>
          <w:tcPr>
            <w:tcW w:type="dxa" w:w="4680"/>
          </w:tcPr>
          <w:p>
            <w:r/>
            <w:r>
              <w:t xml:space="preserve">"Transhipment permission can be generated </w:t>
            </w:r>
            <w:r>
              <w:rPr>
                <w:b/>
              </w:rPr>
              <w:t>only when there is sufficient balance available in the bond</w:t>
            </w:r>
            <w:r>
              <w:t xml:space="preserve"> submitted by the SEZ unit. An amount equal to duty value would be debited at the time of approval of transhipment"</w:t>
            </w:r>
          </w:p>
        </w:tc>
        <w:tc>
          <w:tcPr>
            <w:tcW w:type="dxa" w:w="4680"/>
          </w:tcPr>
          <w:p>
            <w:r/>
            <w:r>
              <w:t>The duty is secured on the bond before the goods move; there is nothing left to protect by holding the goods</w:t>
            </w:r>
          </w:p>
        </w:tc>
      </w:tr>
      <w:tr>
        <w:tc>
          <w:tcPr>
            <w:tcW w:type="dxa" w:w="4680"/>
          </w:tcPr>
          <w:p>
            <w:r/>
            <w:r>
              <w:t xml:space="preserve">"Bill of entry can be filed when there is sufficient balance in the Bond … an amount equal to </w:t>
            </w:r>
            <w:r>
              <w:rPr>
                <w:b/>
              </w:rPr>
              <w:t>duty forgone</w:t>
            </w:r>
            <w:r>
              <w:t xml:space="preserve"> amount would be debited in the system"</w:t>
            </w:r>
          </w:p>
        </w:tc>
        <w:tc>
          <w:tcPr>
            <w:tcW w:type="dxa" w:w="4680"/>
          </w:tcPr>
          <w:p>
            <w:r/>
            <w:r>
              <w:t>Same point at the filing stage</w:t>
            </w:r>
          </w:p>
        </w:tc>
      </w:tr>
      <w:tr>
        <w:tc>
          <w:tcPr>
            <w:tcW w:type="dxa" w:w="4680"/>
          </w:tcPr>
          <w:p>
            <w:r/>
            <w:r>
              <w:t xml:space="preserve">"For consignments where </w:t>
            </w:r>
            <w:r>
              <w:rPr>
                <w:b/>
              </w:rPr>
              <w:t>no foreign exchange is involved at the time of import (where foreign supplier is keeping his goods in the SEZ unit)</w:t>
            </w:r>
            <w:r>
              <w:t>, a dummy AD code 'NFEI' has been created"</w:t>
            </w:r>
          </w:p>
        </w:tc>
        <w:tc>
          <w:tcPr>
            <w:tcW w:type="dxa" w:w="4680"/>
          </w:tcPr>
          <w:p>
            <w:r/>
            <w:r>
              <w:t>The Department's own system expressly contemplates our exact model — a foreign supplier (M/s Gemtec Jewellery FZE) keeping its goods in an Indian FTWZ unit. This answers any insinuation that the arrangement is itself irregular</w:t>
            </w:r>
          </w:p>
        </w:tc>
      </w:tr>
      <w:tr>
        <w:tc>
          <w:tcPr>
            <w:tcW w:type="dxa" w:w="4680"/>
          </w:tcPr>
          <w:p>
            <w:r/>
            <w:r>
              <w:t>"</w:t>
            </w:r>
            <w:r>
              <w:rPr>
                <w:b/>
              </w:rPr>
              <w:t>There is no first check option available for 'Z' type Bill of entry</w:t>
            </w:r>
            <w:r>
              <w:t>"</w:t>
            </w:r>
          </w:p>
        </w:tc>
        <w:tc>
          <w:tcPr>
            <w:tcW w:type="dxa" w:w="4680"/>
          </w:tcPr>
          <w:p>
            <w:r/>
            <w:r>
              <w:t>Decisive on the sampling. "First check" is the very procedure of examining/testing goods before assessment. The system does not permit it for a Z-type BoE at all. What was done on 07.08.2026 was a first check by another name, for which there is no provision</w:t>
            </w:r>
          </w:p>
        </w:tc>
      </w:tr>
      <w:tr>
        <w:tc>
          <w:tcPr>
            <w:tcW w:type="dxa" w:w="4680"/>
          </w:tcPr>
          <w:p>
            <w:r/>
            <w:r>
              <w:t xml:space="preserve">"Assessment and examination of bill of entry would </w:t>
            </w:r>
            <w:r>
              <w:rPr>
                <w:b/>
              </w:rPr>
              <w:t>depend upon RMS risk treatment</w:t>
            </w:r>
            <w:r>
              <w:t xml:space="preserve"> of bill of entry"</w:t>
            </w:r>
          </w:p>
        </w:tc>
        <w:tc>
          <w:tcPr>
            <w:tcW w:type="dxa" w:w="4680"/>
          </w:tcPr>
          <w:p>
            <w:r/>
            <w:r>
              <w:t>Any examination must be RMS-directed and performed in the INS role; no RMS instruction has been shown</w:t>
            </w:r>
          </w:p>
        </w:tc>
      </w:tr>
      <w:tr>
        <w:tc>
          <w:tcPr>
            <w:tcW w:type="dxa" w:w="4680"/>
          </w:tcPr>
          <w:p>
            <w:r/>
            <w:r>
              <w:t xml:space="preserve">"This type of bill of entry </w:t>
            </w:r>
            <w:r>
              <w:rPr>
                <w:b/>
              </w:rPr>
              <w:t>would not be sent to PGA (Partner Government Agency) for NOC</w:t>
            </w:r>
            <w:r>
              <w:t>" … whereas "</w:t>
            </w:r>
            <w:r>
              <w:rPr>
                <w:b/>
              </w:rPr>
              <w:t>all the PGA's requirements would be applicable at the time of DTA clearance</w:t>
            </w:r>
            <w:r>
              <w:t>" (T type)</w:t>
            </w:r>
          </w:p>
        </w:tc>
        <w:tc>
          <w:tcPr>
            <w:tcW w:type="dxa" w:w="4680"/>
          </w:tcPr>
          <w:p>
            <w:r/>
            <w:r>
              <w:t>Quality/compliance checks on the goods belong to the DTA-clearance stage, not the warehousing stage — which is precisely why the SOP defers OOC to the test report and does not authorise a gateway hold</w:t>
            </w:r>
          </w:p>
        </w:tc>
      </w:tr>
      <w:tr>
        <w:tc>
          <w:tcPr>
            <w:tcW w:type="dxa" w:w="4680"/>
          </w:tcPr>
          <w:p>
            <w:r/>
            <w:r>
              <w:t xml:space="preserve">"ICES is </w:t>
            </w:r>
            <w:r>
              <w:rPr>
                <w:b/>
              </w:rPr>
              <w:t>maintaining a ledger</w:t>
            </w:r>
            <w:r>
              <w:t xml:space="preserve"> of all Z type of bills of entry and goods cleared against T type bill of entry are updated in the ledger … the balance quantity … has to exist in the ledger"</w:t>
            </w:r>
          </w:p>
        </w:tc>
        <w:tc>
          <w:tcPr>
            <w:tcW w:type="dxa" w:w="4680"/>
          </w:tcPr>
          <w:p>
            <w:r/>
            <w:r>
              <w:t>The goods cannot be diverted; every gram is accounted for in the system before any DTA clearance is possible. There is no risk that release into the Zone defeats the investigation</w:t>
            </w:r>
          </w:p>
        </w:tc>
      </w:tr>
      <w:tr>
        <w:tc>
          <w:tcPr>
            <w:tcW w:type="dxa" w:w="4680"/>
          </w:tcPr>
          <w:p>
            <w:r/>
            <w:r>
              <w:t xml:space="preserve">"An option has been provided to the SEZ officers to </w:t>
            </w:r>
            <w:r>
              <w:rPr>
                <w:b/>
              </w:rPr>
              <w:t>credit the bond amount</w:t>
            </w:r>
            <w:r>
              <w:t>, if the liability associated with the bill of entry is complete"</w:t>
            </w:r>
          </w:p>
        </w:tc>
        <w:tc>
          <w:tcPr>
            <w:tcW w:type="dxa" w:w="4680"/>
          </w:tcPr>
          <w:p>
            <w:r/>
            <w:r>
              <w:t>The bond mechanics are the designed security; provisional release on bond is the ordinary course, not an indulgence</w:t>
            </w:r>
          </w:p>
        </w:tc>
      </w:tr>
    </w:tbl>
    <w:p/>
    <w:p>
      <w:pPr>
        <w:jc w:val="both"/>
      </w:pPr>
      <w:r>
        <w:rPr>
          <w:b/>
        </w:rPr>
        <w:t>(d) The officer roles.</w:t>
      </w:r>
      <w:r>
        <w:t xml:space="preserve"> The advisory reproduces the screens for </w:t>
      </w:r>
      <w:r>
        <w:rPr>
          <w:b/>
        </w:rPr>
        <w:t>Assessment</w:t>
      </w:r>
      <w:r>
        <w:t xml:space="preserve"> (APR and ACL roles, with the officer's SSO ID mapped to the HSN Assessment Group before a BoE can even enter his queue), </w:t>
      </w:r>
      <w:r>
        <w:rPr>
          <w:b/>
        </w:rPr>
        <w:t>Registration of goods</w:t>
      </w:r>
      <w:r>
        <w:t xml:space="preserve">, </w:t>
      </w:r>
      <w:r>
        <w:rPr>
          <w:b/>
        </w:rPr>
        <w:t>Examination of goods</w:t>
      </w:r>
      <w:r>
        <w:t xml:space="preserve"> and </w:t>
      </w:r>
      <w:r>
        <w:rPr>
          <w:b/>
        </w:rPr>
        <w:t>Out of charge</w:t>
      </w:r>
      <w:r>
        <w:t xml:space="preserve"> (SUP role) — each "to be done by an officer" in the assigned role.</w:t>
      </w:r>
    </w:p>
    <w:p>
      <w:pPr>
        <w:ind w:left="720"/>
      </w:pPr>
      <w:r>
        <w:rPr>
          <w:b/>
          <w:i/>
        </w:rPr>
        <w:t>The ground this yields:</w:t>
      </w:r>
      <w:r>
        <w:rPr>
          <w:i/>
        </w:rPr>
        <w:t xml:space="preserve"> the Customs Automated System allots each act on a Z-type Bill of Entry to a named role — APR/ACL for assessment, AAI for registration at the Zone, INS for examination, SUP for out of charge — and an officer of the intelligence wing holds none of them. An assessment made in the system by the officer in the APR/ACL role, on a Bill of Entry from which the duty forgone has already been debited to the Unit's bond, cannot be set at nought by an officer outside the system who has neither passed an order under s.17(4)/(5) or s.18 nor effected a seizure under s.110. And the drawal of samples at the gateway on 07.08.2026, before trans-shipment and before registration of the goods at the Zone, reverses the sequence the Department itself prescribes and amounts to a "first check" which, on the Department's own document, is </w:t>
      </w:r>
      <w:r>
        <w:rPr>
          <w:b/>
          <w:i/>
        </w:rPr>
        <w:t>not available at all</w:t>
      </w:r>
      <w:r>
        <w:rPr>
          <w:i/>
        </w:rPr>
        <w:t xml:space="preserve"> for a Z-type Bill of Entry.</w:t>
      </w:r>
    </w:p>
    <w:p>
      <w:pPr>
        <w:jc w:val="both"/>
      </w:pPr>
      <w:r>
        <w:rPr>
          <w:b/>
        </w:rPr>
        <w:t>Exhibits to file:</w:t>
      </w:r>
      <w:r>
        <w:t xml:space="preserve"> dated printout of the ICEGATE 2.0 "User Manual — SEZ Web Forms" (CBIC, 26.06.2023, v.1.01) and of the DG Systems advisory "Process of customs clearance of Imported goods from foreign country to SEZ unit in ICES". Both are downloadable from the ICEGATE Advisory index hosted on the SEZ websites (e.g. </w:t>
      </w:r>
      <w:r>
        <w:rPr>
          <w:rFonts w:ascii="Courier New" w:hAnsi="Courier New"/>
        </w:rPr>
        <w:t>https://nsez.gov.in/Resources/ICEGATE Advisory.pdf</w:t>
      </w:r>
      <w:r>
        <w:t>, items 9 and 16). Print with the URL and date footer visible.</w:t>
      </w:r>
    </w:p>
    <w:p>
      <w:pPr>
        <w:pStyle w:val="Heading2"/>
      </w:pPr>
      <w:r>
        <w:t>PART V — CASE LAW</w:t>
      </w:r>
    </w:p>
    <w:p>
      <w:pPr>
        <w:pStyle w:val="Heading3"/>
      </w:pPr>
      <w:r>
        <w:t>A. Z-type Bill of Entry / SEZ-FTWZ cargo — Madras High Court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Case</w:t>
            </w:r>
          </w:p>
        </w:tc>
        <w:tc>
          <w:tcPr>
            <w:tcW w:type="dxa" w:w="3120"/>
          </w:tcPr>
          <w:p>
            <w:r>
              <w:rPr>
                <w:b/>
              </w:rPr>
            </w:r>
            <w:r>
              <w:rPr>
                <w:b/>
              </w:rPr>
              <w:t>Citation / status</w:t>
            </w:r>
          </w:p>
        </w:tc>
        <w:tc>
          <w:tcPr>
            <w:tcW w:type="dxa" w:w="3120"/>
          </w:tcPr>
          <w:p>
            <w:r>
              <w:rPr>
                <w:b/>
              </w:rPr>
            </w:r>
            <w:r>
              <w:rPr>
                <w:b/>
              </w:rPr>
              <w:t>Holding relevant to us</w:t>
            </w:r>
          </w:p>
        </w:tc>
      </w:tr>
      <w:tr>
        <w:tc>
          <w:tcPr>
            <w:tcW w:type="dxa" w:w="3120"/>
          </w:tcPr>
          <w:p>
            <w:r/>
            <w:r>
              <w:t>*</w:t>
            </w:r>
            <w:r>
              <w:rPr>
                <w:b/>
              </w:rPr>
              <w:t>Shaurya International v. Principal Commissioner of Customs (Chennai-III)</w:t>
            </w:r>
            <w:r>
              <w:t>*</w:t>
            </w:r>
          </w:p>
        </w:tc>
        <w:tc>
          <w:tcPr>
            <w:tcW w:type="dxa" w:w="3120"/>
          </w:tcPr>
          <w:p>
            <w:r/>
            <w:r>
              <w:t xml:space="preserve">Madras HC, reported Nov. 2025; follows W.P. No. 33723 of 2025 </w:t>
            </w:r>
            <w:r>
              <w:rPr>
                <w:b/>
              </w:rPr>
              <w:t>[Reported — obtain the order copy and W.P. number]</w:t>
            </w:r>
          </w:p>
        </w:tc>
        <w:tc>
          <w:tcPr>
            <w:tcW w:type="dxa" w:w="3120"/>
          </w:tcPr>
          <w:p>
            <w:r/>
            <w:r>
              <w:t xml:space="preserve">Goods imported under a </w:t>
            </w:r>
            <w:r>
              <w:rPr>
                <w:b/>
              </w:rPr>
              <w:t>warehousing Bill of Entry dated 03.01.2025 for SEZ import, Z-type clearance</w:t>
            </w:r>
            <w:r>
              <w:t xml:space="preserve">; investigation; samples sent to CRCL; </w:t>
            </w:r>
            <w:r>
              <w:rPr>
                <w:b/>
              </w:rPr>
              <w:t>seizure on 18.02.2025</w:t>
            </w:r>
            <w:r>
              <w:t xml:space="preserve"> for alleged misclassification; DRI enquiry at Delhi. Court did not send the importer away: it permitted </w:t>
            </w:r>
            <w:r>
              <w:rPr>
                <w:b/>
              </w:rPr>
              <w:t>re-export on a bond for the differential duty and a bank guarantee of 20% of the re-determined value, within twelve days</w:t>
            </w:r>
            <w:r>
              <w:t xml:space="preserve">, following </w:t>
            </w:r>
            <w:r>
              <w:rPr>
                <w:i/>
              </w:rPr>
              <w:t>Siemens Ltd. v. Collector of Customs</w:t>
            </w:r>
            <w:r>
              <w:t xml:space="preserve">, 1999 (113) E.L.T. 776 (SC), </w:t>
            </w:r>
            <w:r>
              <w:rPr>
                <w:i/>
              </w:rPr>
              <w:t>Sankar Pandi v. Union of India</w:t>
            </w:r>
            <w:r>
              <w:t xml:space="preserve">, 2002 (141) E.L.T. 635, and </w:t>
            </w:r>
            <w:r>
              <w:rPr>
                <w:i/>
              </w:rPr>
              <w:t>Asst. Commr. of Customs (Imports), Tuticorin v. Mahadev Enterprises</w:t>
            </w:r>
            <w:r>
              <w:t xml:space="preserve">, 2023 (3) CENTAX 8. </w:t>
            </w:r>
            <w:r>
              <w:rPr>
                <w:b/>
              </w:rPr>
              <w:t>This is the closest reported Madras case on a Z-type BoE.</w:t>
            </w:r>
          </w:p>
        </w:tc>
      </w:tr>
      <w:tr>
        <w:tc>
          <w:tcPr>
            <w:tcW w:type="dxa" w:w="3120"/>
          </w:tcPr>
          <w:p>
            <w:r/>
            <w:r>
              <w:t>*</w:t>
            </w:r>
            <w:r>
              <w:rPr>
                <w:b/>
              </w:rPr>
              <w:t>Nova Enterprises v. Addl. Commissioner of Customs (SEZ-FTWZ), Preventive Commissionerate</w:t>
            </w:r>
            <w:r>
              <w:t>*</w:t>
            </w:r>
          </w:p>
        </w:tc>
        <w:tc>
          <w:tcPr>
            <w:tcW w:type="dxa" w:w="3120"/>
          </w:tcPr>
          <w:p>
            <w:r/>
            <w:r>
              <w:t xml:space="preserve">Madras HC, W.P. No. 29074 of 2025, dated 23.09.2025, N. Anand Venkatesh J. </w:t>
            </w:r>
            <w:r>
              <w:rPr>
                <w:b/>
              </w:rPr>
              <w:t>[Verified — order text read]</w:t>
            </w:r>
          </w:p>
        </w:tc>
        <w:tc>
          <w:tcPr>
            <w:tcW w:type="dxa" w:w="3120"/>
          </w:tcPr>
          <w:p>
            <w:r/>
            <w:r>
              <w:t xml:space="preserve">Challenge to conditions in a </w:t>
            </w:r>
            <w:r>
              <w:rPr>
                <w:b/>
              </w:rPr>
              <w:t>Provisional Release Order dated 29.07.2025</w:t>
            </w:r>
            <w:r>
              <w:t xml:space="preserve"> in F.No. GEN/ADJ/Misc/353/2025-SEZ-FTWZ covering eight Bills of Entry; conditions modified on </w:t>
            </w:r>
            <w:r>
              <w:rPr>
                <w:i/>
              </w:rPr>
              <w:t>Navshakti Industries</w:t>
            </w:r>
            <w:r>
              <w:t>, 2011 (269) E.L.T. (A-146) (SC) read with the Customs (Provisional Duty Assessment) Regulations, 1963 and past contemporaneous clearances assessed by the proper officer.</w:t>
            </w:r>
          </w:p>
        </w:tc>
      </w:tr>
      <w:tr>
        <w:tc>
          <w:tcPr>
            <w:tcW w:type="dxa" w:w="3120"/>
          </w:tcPr>
          <w:p>
            <w:r/>
            <w:r>
              <w:t>*</w:t>
            </w:r>
            <w:r>
              <w:rPr>
                <w:b/>
              </w:rPr>
              <w:t>Hi Rexine v. Deputy Director, DRI (Hqrs.) and others</w:t>
            </w:r>
            <w:r>
              <w:t>*</w:t>
            </w:r>
          </w:p>
        </w:tc>
        <w:tc>
          <w:tcPr>
            <w:tcW w:type="dxa" w:w="3120"/>
          </w:tcPr>
          <w:p>
            <w:r/>
            <w:r>
              <w:t xml:space="preserve">Madras HC, W.P. No. 15944 of 2025, dated 02.06.2025, Abdul Quddhose J. </w:t>
            </w:r>
            <w:r>
              <w:rPr>
                <w:b/>
              </w:rPr>
              <w:t>[Verified — order text read]</w:t>
            </w:r>
          </w:p>
        </w:tc>
        <w:tc>
          <w:tcPr>
            <w:tcW w:type="dxa" w:w="3120"/>
          </w:tcPr>
          <w:p>
            <w:r/>
            <w:r>
              <w:rPr>
                <w:b/>
              </w:rPr>
              <w:t>Stage 1 of the chain — a domestic-clearance request converted into a s.110A proceeding.</w:t>
            </w:r>
            <w:r>
              <w:t xml:space="preserve"> PVC Coated Fabric on B/E No. 7882362 dated 20.01.2025 moved to a SEZ unit; petitioner "approached the respondent for clearance of the goods from the Special Economic Zone unit" and was told DRI had begun an investigation and "only after obtaining the test report, a decision would be taken for release of the goods"; goods detained by </w:t>
            </w:r>
            <w:r>
              <w:rPr>
                <w:b/>
              </w:rPr>
              <w:t>panchanama dated 25.01.2025</w:t>
            </w:r>
            <w:r>
              <w:t xml:space="preserve">. Revenue objected that the representation on record "is not for provisional release of the imported goods as per the provisions of Section 110A ... but, it is for the final assessment". Court directed a </w:t>
            </w:r>
            <w:r>
              <w:rPr>
                <w:b/>
              </w:rPr>
              <w:t>fresh representation for provisional release within one week</w:t>
            </w:r>
            <w:r>
              <w:t xml:space="preserve">, and final orders on merits within </w:t>
            </w:r>
            <w:r>
              <w:rPr>
                <w:b/>
              </w:rPr>
              <w:t>four weeks</w:t>
            </w:r>
            <w:r>
              <w:t xml:space="preserve">, giving due consideration to </w:t>
            </w:r>
            <w:r>
              <w:rPr>
                <w:i/>
              </w:rPr>
              <w:t>Navshakti Industries Pvt. Ltd. v. Commissioner of Customs, Delhi</w:t>
            </w:r>
            <w:r>
              <w:t xml:space="preserve">, </w:t>
            </w:r>
            <w:r>
              <w:rPr>
                <w:b/>
              </w:rPr>
              <w:t>2011 (267) E.L.T. 483 (Del.)</w:t>
            </w:r>
            <w:r>
              <w:t xml:space="preserve">, affirmed </w:t>
            </w:r>
            <w:r>
              <w:rPr>
                <w:b/>
              </w:rPr>
              <w:t>2011 (269) E.L.T. (A-146) (SC)</w:t>
            </w:r>
            <w:r>
              <w:t xml:space="preserve">, and to </w:t>
            </w:r>
            <w:r>
              <w:rPr>
                <w:b/>
              </w:rPr>
              <w:t>Regulation 2 of the Customs (Provisional Duty Assessment) Regulations, 2011</w:t>
            </w:r>
            <w:r>
              <w:t>.</w:t>
            </w:r>
          </w:p>
        </w:tc>
      </w:tr>
      <w:tr>
        <w:tc>
          <w:tcPr>
            <w:tcW w:type="dxa" w:w="3120"/>
          </w:tcPr>
          <w:p>
            <w:r/>
            <w:r>
              <w:t>*</w:t>
            </w:r>
            <w:r>
              <w:rPr>
                <w:b/>
              </w:rPr>
              <w:t>Hi Rexine v. Addl. Commissioner of Customs (SEZ-FTWZ), Preventive Commissionerate</w:t>
            </w:r>
            <w:r>
              <w:t>*</w:t>
            </w:r>
          </w:p>
        </w:tc>
        <w:tc>
          <w:tcPr>
            <w:tcW w:type="dxa" w:w="3120"/>
          </w:tcPr>
          <w:p>
            <w:r/>
            <w:r>
              <w:t xml:space="preserve">Madras HC, W.P. No. 28694 of 2025, dated 23.09.2025, N. Anand Venkatesh J. </w:t>
            </w:r>
            <w:r>
              <w:rPr>
                <w:b/>
              </w:rPr>
              <w:t>[Verified — order text read]</w:t>
            </w:r>
          </w:p>
        </w:tc>
        <w:tc>
          <w:tcPr>
            <w:tcW w:type="dxa" w:w="3120"/>
          </w:tcPr>
          <w:p>
            <w:r/>
            <w:r>
              <w:rPr>
                <w:b/>
              </w:rPr>
              <w:t>Stage 2 — onerous conditions cut down.</w:t>
            </w:r>
            <w:r>
              <w:t xml:space="preserve"> PR order dated 15.07.2025 (F.No. GEN/ADJ/Misc/314/2025-SEZ-FTWZ) demanded </w:t>
            </w:r>
            <w:r>
              <w:rPr>
                <w:b/>
              </w:rPr>
              <w:t>BG Rs. 10,00,000 + bond equal to re-determined value Rs. 35,00,000</w:t>
            </w:r>
            <w:r>
              <w:t xml:space="preserve">. Revenue's objection that an appeal lay was not accepted as a bar. Held: "The respondent has exercised jurisdiction under Section 110A"; the Court "must only see as to whether the conditions imposed ... require the interference of this Court". Applying </w:t>
            </w:r>
            <w:r>
              <w:rPr>
                <w:b/>
              </w:rPr>
              <w:t>W.P. No. 32472 of 2025 (18.09.2025)</w:t>
            </w:r>
            <w:r>
              <w:t xml:space="preserve"> — which followed *</w:t>
            </w:r>
            <w:r>
              <w:rPr>
                <w:b/>
              </w:rPr>
              <w:t>Green Line v. Commissioner of Customs, Chennai-IV</w:t>
            </w:r>
            <w:r>
              <w:rPr>
                <w:i/>
              </w:rPr>
              <w:t xml:space="preserve">, 2016 (340) E.L.T. 140 (Mad.), affirmed in </w:t>
            </w:r>
            <w:r>
              <w:rPr>
                <w:i/>
              </w:rPr>
              <w:t>W.A. No. 1243 of 2016 (25.10.2016)</w:t>
            </w:r>
            <w:r>
              <w:rPr>
                <w:i/>
              </w:rPr>
              <w:t xml:space="preserve">, and the DB in </w:t>
            </w:r>
            <w:r>
              <w:rPr>
                <w:b/>
              </w:rPr>
              <w:t>Commissioner of Customs v. Sri Venkateshwara Paper Boards</w:t>
            </w:r>
            <w:r>
              <w:rPr>
                <w:i/>
              </w:rPr>
              <w:t xml:space="preserve">, 2022 (379) E.L.T. 310 (Mad.) (BG towards redemption fine and penalty "would be harsh as the show-cause notice is yet to be adjudicated") — conditions modified to: </w:t>
            </w:r>
            <w:r>
              <w:rPr>
                <w:i/>
              </w:rPr>
              <w:t>(a) remit entire duty as declared; (b) pay 50% of the differential duty; (c) bond for the re-determined value; (d) bond in place of the BG; release "within a period of seven days from the date of compliance"</w:t>
            </w:r>
            <w:r>
              <w:t>*. Note also that condition 1 of the PR order in W.P. 32472/2025 required the importer to "file the DTA Bill of Entry for provisional release for the re-determined value" — i.e. the T-Bill route is used as the vehicle for provisional release.</w:t>
            </w:r>
          </w:p>
        </w:tc>
      </w:tr>
      <w:tr>
        <w:tc>
          <w:tcPr>
            <w:tcW w:type="dxa" w:w="3120"/>
          </w:tcPr>
          <w:p>
            <w:r/>
            <w:r>
              <w:t>*</w:t>
            </w:r>
            <w:r>
              <w:rPr>
                <w:b/>
              </w:rPr>
              <w:t>Exim India Global</w:t>
            </w:r>
            <w:r>
              <w:t>* (PVC coated fabrics moved to an SEZ unit at Nandiyambakkam)</w:t>
            </w:r>
          </w:p>
        </w:tc>
        <w:tc>
          <w:tcPr>
            <w:tcW w:type="dxa" w:w="3120"/>
          </w:tcPr>
          <w:p>
            <w:r/>
            <w:r>
              <w:t xml:space="preserve">Madras HC, Sept. 2025 </w:t>
            </w:r>
            <w:r>
              <w:rPr>
                <w:b/>
              </w:rPr>
              <w:t>[Reported — legalera]</w:t>
            </w:r>
          </w:p>
        </w:tc>
        <w:tc>
          <w:tcPr>
            <w:tcW w:type="dxa" w:w="3120"/>
          </w:tcPr>
          <w:p>
            <w:r/>
            <w:r>
              <w:t xml:space="preserve">DRI investigation into cargo </w:t>
            </w:r>
            <w:r>
              <w:rPr>
                <w:b/>
              </w:rPr>
              <w:t>already inside the SEZ</w:t>
            </w:r>
            <w:r>
              <w:t xml:space="preserve">; Addl. Commissioner (SEZ-FTWZ) demanded BG of Rs. 2.78 crore and bond on a re-determined value of Rs. 9.63 crore; conditions held excessive; release directed </w:t>
            </w:r>
            <w:r>
              <w:rPr>
                <w:b/>
              </w:rPr>
              <w:t>within 7 days</w:t>
            </w:r>
            <w:r>
              <w:t xml:space="preserve"> on declared duty + 50% of differential duty + bonds in lieu of BG. Jurisdiction to act inside the SEZ was not questioned.</w:t>
            </w:r>
          </w:p>
        </w:tc>
      </w:tr>
      <w:tr>
        <w:tc>
          <w:tcPr>
            <w:tcW w:type="dxa" w:w="3120"/>
          </w:tcPr>
          <w:p>
            <w:r/>
            <w:r>
              <w:t>*</w:t>
            </w:r>
            <w:r>
              <w:rPr>
                <w:b/>
              </w:rPr>
              <w:t>A.R. Fabrics Pvt. Ltd. v. Principal Commissioner of Customs (Chennai-III) (Preventive), MEPZ SEZ, Tambaram &amp; ADG, DRI</w:t>
            </w:r>
            <w:r>
              <w:t>*</w:t>
            </w:r>
          </w:p>
        </w:tc>
        <w:tc>
          <w:tcPr>
            <w:tcW w:type="dxa" w:w="3120"/>
          </w:tcPr>
          <w:p>
            <w:r/>
            <w:r>
              <w:t xml:space="preserve">Madras HC, W.P. No. 26414 of 2025, reserved 23.09.2025, delivered 26.09.2025 </w:t>
            </w:r>
            <w:r>
              <w:rPr>
                <w:b/>
              </w:rPr>
              <w:t>[Verified — order text read]</w:t>
            </w:r>
          </w:p>
        </w:tc>
        <w:tc>
          <w:tcPr>
            <w:tcW w:type="dxa" w:w="3120"/>
          </w:tcPr>
          <w:p>
            <w:r/>
            <w:r>
              <w:t xml:space="preserve">Release sought of goods covered by B/E No. 7735351 dated 01.10.2024; seizure memo dated 07.04.2025; </w:t>
            </w:r>
            <w:r>
              <w:rPr>
                <w:b/>
              </w:rPr>
              <w:t>re-export permitted on conditions</w:t>
            </w:r>
            <w:r>
              <w:t xml:space="preserve"> notwithstanding the pending DRI investigation.</w:t>
            </w:r>
          </w:p>
        </w:tc>
      </w:tr>
      <w:tr>
        <w:tc>
          <w:tcPr>
            <w:tcW w:type="dxa" w:w="3120"/>
          </w:tcPr>
          <w:p>
            <w:r/>
            <w:r>
              <w:t>*</w:t>
            </w:r>
            <w:r>
              <w:rPr>
                <w:b/>
              </w:rPr>
              <w:t>Principal Commissioner of Customs-III (SIIB) v. B.V. Leathers</w:t>
            </w:r>
            <w:r>
              <w:t>*</w:t>
            </w:r>
          </w:p>
        </w:tc>
        <w:tc>
          <w:tcPr>
            <w:tcW w:type="dxa" w:w="3120"/>
          </w:tcPr>
          <w:p>
            <w:r/>
            <w:r>
              <w:t xml:space="preserve">Madras HC (DB), 19.09.2017 </w:t>
            </w:r>
            <w:r>
              <w:rPr>
                <w:b/>
              </w:rPr>
              <w:t>[Reported]</w:t>
            </w:r>
          </w:p>
        </w:tc>
        <w:tc>
          <w:tcPr>
            <w:tcW w:type="dxa" w:w="3120"/>
          </w:tcPr>
          <w:p>
            <w:r/>
            <w:r>
              <w:t>This very SIIB formation; detention for testing to be minimised; provisional release framework of Circular No. 01/2011-Cus. sustained.</w:t>
            </w:r>
          </w:p>
        </w:tc>
      </w:tr>
      <w:tr>
        <w:tc>
          <w:tcPr>
            <w:tcW w:type="dxa" w:w="3120"/>
          </w:tcPr>
          <w:p>
            <w:r/>
            <w:r>
              <w:t>*</w:t>
            </w:r>
            <w:r>
              <w:rPr>
                <w:b/>
              </w:rPr>
              <w:t>J.K. Exim v. Principal Commissioner of Customs</w:t>
            </w:r>
            <w:r>
              <w:t>*</w:t>
            </w:r>
          </w:p>
        </w:tc>
        <w:tc>
          <w:tcPr>
            <w:tcW w:type="dxa" w:w="3120"/>
          </w:tcPr>
          <w:p>
            <w:r/>
            <w:r>
              <w:t xml:space="preserve">Madras HC, W.P. No. 36866 of 2016, 19.01.2017, reported </w:t>
            </w:r>
            <w:r>
              <w:rPr>
                <w:b/>
              </w:rPr>
              <w:t>2017 (348) E.L.T. 612 (Mad.)</w:t>
            </w:r>
            <w:r>
              <w:t xml:space="preserve"> </w:t>
            </w:r>
            <w:r>
              <w:rPr>
                <w:b/>
              </w:rPr>
              <w:t>[Reported — obtain the reported text before citing]</w:t>
            </w:r>
          </w:p>
        </w:tc>
        <w:tc>
          <w:tcPr>
            <w:tcW w:type="dxa" w:w="3120"/>
          </w:tcPr>
          <w:p>
            <w:r/>
            <w:r>
              <w:t xml:space="preserve">Chennai SIIB; goods detained Nov. 2015; </w:t>
            </w:r>
            <w:r>
              <w:rPr>
                <w:b/>
              </w:rPr>
              <w:t>seizure mahazar dated 11.02.2016 not communicated until June 2016</w:t>
            </w:r>
            <w:r>
              <w:t xml:space="preserve">; SCN 05.08.2016; s.110(2) and Circular No. 01/2011 discipline applied. Reported to contain the observation that </w:t>
            </w:r>
            <w:r>
              <w:rPr>
                <w:i/>
              </w:rPr>
              <w:t>"the detention of goods is no different from seizure"</w:t>
            </w:r>
            <w:r>
              <w:t xml:space="preserve">, which is why s.110A exists even before a show cause notice — </w:t>
            </w:r>
            <w:r>
              <w:rPr>
                <w:b/>
              </w:rPr>
              <w:t>verify the paragraph before quoting.</w:t>
            </w:r>
          </w:p>
        </w:tc>
      </w:tr>
    </w:tbl>
    <w:p/>
    <w:p>
      <w:pPr>
        <w:jc w:val="both"/>
      </w:pPr>
      <w:r>
        <w:rPr>
          <w:b/>
        </w:rPr>
        <w:t>Realistic reading of the Madras line:</w:t>
      </w:r>
      <w:r>
        <w:t xml:space="preserve"> in this exact fact-pattern the Court's route is </w:t>
      </w:r>
      <w:r>
        <w:rPr>
          <w:b/>
        </w:rPr>
        <w:t>s.110A / release on terms</w:t>
      </w:r>
      <w:r>
        <w:t>, not invalidation for want of jurisdiction. Lead with s.110/110A, the absence of any written order, the SOP and Article 14; keep the SEZ jurisdiction plea as a serious secondary ground and as a call for the record.</w:t>
      </w:r>
    </w:p>
    <w:p>
      <w:pPr>
        <w:pStyle w:val="Heading3"/>
      </w:pPr>
      <w:r>
        <w:t>B. No power of "detention" outside s.110</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Case</w:t>
            </w:r>
          </w:p>
        </w:tc>
        <w:tc>
          <w:tcPr>
            <w:tcW w:type="dxa" w:w="3120"/>
          </w:tcPr>
          <w:p>
            <w:r>
              <w:rPr>
                <w:b/>
              </w:rPr>
            </w:r>
            <w:r>
              <w:rPr>
                <w:b/>
              </w:rPr>
              <w:t>Citation</w:t>
            </w:r>
          </w:p>
        </w:tc>
        <w:tc>
          <w:tcPr>
            <w:tcW w:type="dxa" w:w="3120"/>
          </w:tcPr>
          <w:p>
            <w:r>
              <w:rPr>
                <w:b/>
              </w:rPr>
            </w:r>
            <w:r>
              <w:rPr>
                <w:b/>
              </w:rPr>
              <w:t>Holding</w:t>
            </w:r>
          </w:p>
        </w:tc>
      </w:tr>
      <w:tr>
        <w:tc>
          <w:tcPr>
            <w:tcW w:type="dxa" w:w="3120"/>
          </w:tcPr>
          <w:p>
            <w:r/>
            <w:r>
              <w:t>*</w:t>
            </w:r>
            <w:r>
              <w:rPr>
                <w:b/>
              </w:rPr>
              <w:t>Jatinder Kumar Sachdeva v. Union of India</w:t>
            </w:r>
            <w:r>
              <w:t>*</w:t>
            </w:r>
          </w:p>
        </w:tc>
        <w:tc>
          <w:tcPr>
            <w:tcW w:type="dxa" w:w="3120"/>
          </w:tcPr>
          <w:p>
            <w:r/>
            <w:r>
              <w:t xml:space="preserve">Delhi HC, 08.12.2016 </w:t>
            </w:r>
            <w:r>
              <w:rPr>
                <w:b/>
              </w:rPr>
              <w:t>[Verified]</w:t>
            </w:r>
          </w:p>
        </w:tc>
        <w:tc>
          <w:tcPr>
            <w:tcW w:type="dxa" w:w="3120"/>
          </w:tcPr>
          <w:p>
            <w:r/>
            <w:r>
              <w:t xml:space="preserve">There is </w:t>
            </w:r>
            <w:r>
              <w:rPr>
                <w:b/>
              </w:rPr>
              <w:t>no provision for "detention"</w:t>
            </w:r>
            <w:r>
              <w:t xml:space="preserve"> in the Customs Act; the Department cannot, "under the garb of detention", escape the consequences that follow a seizure.</w:t>
            </w:r>
          </w:p>
        </w:tc>
      </w:tr>
      <w:tr>
        <w:tc>
          <w:tcPr>
            <w:tcW w:type="dxa" w:w="3120"/>
          </w:tcPr>
          <w:p>
            <w:r/>
            <w:r>
              <w:t>*</w:t>
            </w:r>
            <w:r>
              <w:rPr>
                <w:b/>
              </w:rPr>
              <w:t>Exim Incorporation v. Union of India</w:t>
            </w:r>
            <w:r>
              <w:t>*</w:t>
            </w:r>
          </w:p>
        </w:tc>
        <w:tc>
          <w:tcPr>
            <w:tcW w:type="dxa" w:w="3120"/>
          </w:tcPr>
          <w:p>
            <w:r/>
            <w:r>
              <w:t xml:space="preserve">Bombay HC (DB), 09.12.2020 </w:t>
            </w:r>
            <w:r>
              <w:rPr>
                <w:b/>
              </w:rPr>
              <w:t>[Verified]</w:t>
            </w:r>
          </w:p>
        </w:tc>
        <w:tc>
          <w:tcPr>
            <w:tcW w:type="dxa" w:w="3120"/>
          </w:tcPr>
          <w:p>
            <w:r/>
            <w:r>
              <w:t xml:space="preserve">DRI directed the port formation to hold assessed cargo and ignored a s.49 request; the </w:t>
            </w:r>
            <w:r>
              <w:rPr>
                <w:b/>
              </w:rPr>
              <w:t>first illegality was detaining without effecting a seizure</w:t>
            </w:r>
            <w:r>
              <w:t>.</w:t>
            </w:r>
          </w:p>
        </w:tc>
      </w:tr>
      <w:tr>
        <w:tc>
          <w:tcPr>
            <w:tcW w:type="dxa" w:w="3120"/>
          </w:tcPr>
          <w:p>
            <w:r/>
            <w:r>
              <w:t>*</w:t>
            </w:r>
            <w:r>
              <w:rPr>
                <w:b/>
              </w:rPr>
              <w:t>Union of India v. Jatin Ahuja</w:t>
            </w:r>
            <w:r>
              <w:t>*</w:t>
            </w:r>
          </w:p>
        </w:tc>
        <w:tc>
          <w:tcPr>
            <w:tcW w:type="dxa" w:w="3120"/>
          </w:tcPr>
          <w:p>
            <w:r/>
            <w:r>
              <w:t xml:space="preserve">SC, Civil Appeal No. 3489 of 2024, 11.09.2025 </w:t>
            </w:r>
            <w:r>
              <w:rPr>
                <w:b/>
              </w:rPr>
              <w:t>[Reported]</w:t>
            </w:r>
          </w:p>
        </w:tc>
        <w:tc>
          <w:tcPr>
            <w:tcW w:type="dxa" w:w="3120"/>
          </w:tcPr>
          <w:p>
            <w:r/>
            <w:r>
              <w:t>s.110(2) time discipline.</w:t>
            </w:r>
          </w:p>
        </w:tc>
      </w:tr>
      <w:tr>
        <w:tc>
          <w:tcPr>
            <w:tcW w:type="dxa" w:w="3120"/>
          </w:tcPr>
          <w:p>
            <w:r/>
            <w:r>
              <w:t>*</w:t>
            </w:r>
            <w:r>
              <w:rPr>
                <w:b/>
              </w:rPr>
              <w:t>S.J. Fabrics Pvt. Ltd. v. Union of India</w:t>
            </w:r>
            <w:r>
              <w:t>*</w:t>
            </w:r>
          </w:p>
        </w:tc>
        <w:tc>
          <w:tcPr>
            <w:tcW w:type="dxa" w:w="3120"/>
          </w:tcPr>
          <w:p>
            <w:r/>
            <w:r>
              <w:t xml:space="preserve">Calcutta HC, 19.04.2011 </w:t>
            </w:r>
            <w:r>
              <w:rPr>
                <w:b/>
              </w:rPr>
              <w:t>[Reported]</w:t>
            </w:r>
          </w:p>
        </w:tc>
        <w:tc>
          <w:tcPr>
            <w:tcW w:type="dxa" w:w="3120"/>
          </w:tcPr>
          <w:p>
            <w:r/>
            <w:r>
              <w:t>Detention/seizure safeguards.</w:t>
            </w:r>
          </w:p>
        </w:tc>
      </w:tr>
      <w:tr>
        <w:tc>
          <w:tcPr>
            <w:tcW w:type="dxa" w:w="3120"/>
          </w:tcPr>
          <w:p>
            <w:r/>
            <w:r>
              <w:t>*</w:t>
            </w:r>
            <w:r>
              <w:rPr>
                <w:b/>
              </w:rPr>
              <w:t>M/s Om Udyog v. Union of India</w:t>
            </w:r>
            <w:r>
              <w:t>*</w:t>
            </w:r>
          </w:p>
        </w:tc>
        <w:tc>
          <w:tcPr>
            <w:tcW w:type="dxa" w:w="3120"/>
          </w:tcPr>
          <w:p>
            <w:r/>
            <w:r>
              <w:t xml:space="preserve">Punjab &amp; Haryana HC, 14.05.2010 </w:t>
            </w:r>
            <w:r>
              <w:rPr>
                <w:b/>
              </w:rPr>
              <w:t>[Reported]</w:t>
            </w:r>
          </w:p>
        </w:tc>
        <w:tc>
          <w:tcPr>
            <w:tcW w:type="dxa" w:w="3120"/>
          </w:tcPr>
          <w:p>
            <w:r/>
            <w:r>
              <w:t>Detention without seizure impermissible.</w:t>
            </w:r>
          </w:p>
        </w:tc>
      </w:tr>
    </w:tbl>
    <w:p/>
    <w:p>
      <w:pPr>
        <w:jc w:val="both"/>
      </w:pPr>
      <w:r>
        <w:t xml:space="preserve">Caution: the express "no detention power" holdings are </w:t>
      </w:r>
      <w:r>
        <w:rPr>
          <w:b/>
        </w:rPr>
        <w:t>Delhi and Bombay</w:t>
      </w:r>
      <w:r>
        <w:t xml:space="preserve">, not Madras. Do not attribute that formulation to the Madras High Court; use </w:t>
      </w:r>
      <w:r>
        <w:rPr>
          <w:i/>
        </w:rPr>
        <w:t>J.K. Exim</w:t>
      </w:r>
      <w:r>
        <w:t xml:space="preserve"> and the s.110/110A discipline for the Madras position.</w:t>
      </w:r>
    </w:p>
    <w:p>
      <w:pPr>
        <w:pStyle w:val="Heading3"/>
      </w:pPr>
      <w:r>
        <w:t>C. Customs jurisdiction inside a SEZ — in our favour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Case</w:t>
            </w:r>
          </w:p>
        </w:tc>
        <w:tc>
          <w:tcPr>
            <w:tcW w:type="dxa" w:w="3120"/>
          </w:tcPr>
          <w:p>
            <w:r>
              <w:rPr>
                <w:b/>
              </w:rPr>
            </w:r>
            <w:r>
              <w:rPr>
                <w:b/>
              </w:rPr>
              <w:t>Citation</w:t>
            </w:r>
          </w:p>
        </w:tc>
        <w:tc>
          <w:tcPr>
            <w:tcW w:type="dxa" w:w="3120"/>
          </w:tcPr>
          <w:p>
            <w:r>
              <w:rPr>
                <w:b/>
              </w:rPr>
            </w:r>
            <w:r>
              <w:rPr>
                <w:b/>
              </w:rPr>
              <w:t>Holding</w:t>
            </w:r>
          </w:p>
        </w:tc>
      </w:tr>
      <w:tr>
        <w:tc>
          <w:tcPr>
            <w:tcW w:type="dxa" w:w="3120"/>
          </w:tcPr>
          <w:p>
            <w:r/>
            <w:r>
              <w:t>*</w:t>
            </w:r>
            <w:r>
              <w:rPr>
                <w:b/>
              </w:rPr>
              <w:t>M/s Meenakshi International v. CC (I&amp;G), New Delhi</w:t>
            </w:r>
            <w:r>
              <w:t>*</w:t>
            </w:r>
          </w:p>
        </w:tc>
        <w:tc>
          <w:tcPr>
            <w:tcW w:type="dxa" w:w="3120"/>
          </w:tcPr>
          <w:p>
            <w:r/>
            <w:r>
              <w:t xml:space="preserve">CESTAT, New Delhi, Customs Appeal No. 175 of 2011, Final Order No. 55037/2016 dated 16.11.2016 </w:t>
            </w:r>
            <w:r>
              <w:rPr>
                <w:b/>
              </w:rPr>
              <w:t>[Verified — order text read]</w:t>
            </w:r>
          </w:p>
        </w:tc>
        <w:tc>
          <w:tcPr>
            <w:tcW w:type="dxa" w:w="3120"/>
          </w:tcPr>
          <w:p>
            <w:r/>
            <w:r>
              <w:t>"</w:t>
            </w:r>
            <w:r>
              <w:rPr>
                <w:b/>
              </w:rPr>
              <w:t>We find that during the relevant period, the customs did not have necessary jurisdiction within the territory of Special Economic Zone</w:t>
            </w:r>
            <w:r>
              <w:t>… present proceedings initiated by the customs were beyond jurisdiction. Therefore, impugned order is without proper authority of law." Non-observance of ss.21–22 SEZ Act and the overriding effect of s.51 were part of the accepted case.</w:t>
            </w:r>
          </w:p>
        </w:tc>
      </w:tr>
      <w:tr>
        <w:tc>
          <w:tcPr>
            <w:tcW w:type="dxa" w:w="3120"/>
          </w:tcPr>
          <w:p>
            <w:r/>
            <w:r>
              <w:t>*</w:t>
            </w:r>
            <w:r>
              <w:rPr>
                <w:b/>
              </w:rPr>
              <w:t>Bharat (Bharti) J. Gandhi v. Union of India</w:t>
            </w:r>
            <w:r>
              <w:t>*</w:t>
            </w:r>
          </w:p>
        </w:tc>
        <w:tc>
          <w:tcPr>
            <w:tcW w:type="dxa" w:w="3120"/>
          </w:tcPr>
          <w:p>
            <w:r/>
            <w:r>
              <w:t xml:space="preserve">Gujarat HC, 2010 (257) E.L.T. 168 (Guj.) (order of 07/08.12.2009) </w:t>
            </w:r>
            <w:r>
              <w:rPr>
                <w:b/>
              </w:rPr>
              <w:t>[Reported]</w:t>
            </w:r>
          </w:p>
        </w:tc>
        <w:tc>
          <w:tcPr>
            <w:tcW w:type="dxa" w:w="3120"/>
          </w:tcPr>
          <w:p>
            <w:r/>
            <w:r>
              <w:t>"</w:t>
            </w:r>
            <w:r>
              <w:rPr>
                <w:b/>
              </w:rPr>
              <w:t>The Customs authorities seems to have been rendered functus officio so far as the matter pertaining to the conduct of a unit situated in SEZ is concerned</w:t>
            </w:r>
            <w:r>
              <w:t xml:space="preserve">"; applying </w:t>
            </w:r>
            <w:r>
              <w:rPr>
                <w:i/>
              </w:rPr>
              <w:t>Whirlpool Corporation v. Registrar of Trade Marks</w:t>
            </w:r>
            <w:r>
              <w:t>, A.I.R. 1999 SC 22, an authority must first satisfy the Court of its jurisdiction to issue a show cause notice, "otherwise, the entire object and purpose of establishment of Special Economic Zone will stand frustrated."</w:t>
            </w:r>
          </w:p>
        </w:tc>
      </w:tr>
      <w:tr>
        <w:tc>
          <w:tcPr>
            <w:tcW w:type="dxa" w:w="3120"/>
          </w:tcPr>
          <w:p>
            <w:r/>
            <w:r>
              <w:t>*</w:t>
            </w:r>
            <w:r>
              <w:rPr>
                <w:b/>
              </w:rPr>
              <w:t>Morgan Tectronics Ltd. v. Commissioner of Customs, New Delhi</w:t>
            </w:r>
            <w:r>
              <w:t>*</w:t>
            </w:r>
          </w:p>
        </w:tc>
        <w:tc>
          <w:tcPr>
            <w:tcW w:type="dxa" w:w="3120"/>
          </w:tcPr>
          <w:p>
            <w:r/>
            <w:r>
              <w:t xml:space="preserve">(316) E.L.T. 276 (Tri.-Del.) — </w:t>
            </w:r>
            <w:r>
              <w:rPr>
                <w:b/>
              </w:rPr>
              <w:t>year cited variously as 2005 and 2015; verify</w:t>
            </w:r>
            <w:r>
              <w:t xml:space="preserve"> </w:t>
            </w:r>
            <w:r>
              <w:rPr>
                <w:b/>
              </w:rPr>
              <w:t>[Reported]</w:t>
            </w:r>
          </w:p>
        </w:tc>
        <w:tc>
          <w:tcPr>
            <w:tcW w:type="dxa" w:w="3120"/>
          </w:tcPr>
          <w:p>
            <w:r/>
            <w:r>
              <w:t xml:space="preserve">Para 8: by s.53(1) the SEZ is deemed to be territory outside the customs territory and the goods were meant for the SEZ unit; the </w:t>
            </w:r>
            <w:r>
              <w:rPr>
                <w:b/>
              </w:rPr>
              <w:t>Commissioner of Customs, Air Cargo, New Delhi had no jurisdiction</w:t>
            </w:r>
            <w:r>
              <w:t xml:space="preserve"> to confiscate them — only the Customs officers </w:t>
            </w:r>
            <w:r>
              <w:rPr>
                <w:b/>
              </w:rPr>
              <w:t>in the SEZ</w:t>
            </w:r>
            <w:r>
              <w:t xml:space="preserve"> could act. Directly useful for Writ No. 1 (ACC formation acting on SEZ-destined cargo).</w:t>
            </w:r>
          </w:p>
        </w:tc>
      </w:tr>
      <w:tr>
        <w:tc>
          <w:tcPr>
            <w:tcW w:type="dxa" w:w="3120"/>
          </w:tcPr>
          <w:p>
            <w:r/>
            <w:r>
              <w:t>*</w:t>
            </w:r>
            <w:r>
              <w:rPr>
                <w:b/>
              </w:rPr>
              <w:t>Imran Ahmed v. Commissioner of Customs</w:t>
            </w:r>
            <w:r>
              <w:t>*</w:t>
            </w:r>
          </w:p>
        </w:tc>
        <w:tc>
          <w:tcPr>
            <w:tcW w:type="dxa" w:w="3120"/>
          </w:tcPr>
          <w:p>
            <w:r/>
            <w:r>
              <w:t xml:space="preserve">CESTAT Allahabad, 2018 </w:t>
            </w:r>
            <w:r>
              <w:rPr>
                <w:b/>
              </w:rPr>
              <w:t>[To verify]</w:t>
            </w:r>
          </w:p>
        </w:tc>
        <w:tc>
          <w:tcPr>
            <w:tcW w:type="dxa" w:w="3120"/>
          </w:tcPr>
          <w:p>
            <w:r/>
            <w:r>
              <w:t>Reported to hold that "Customs officers have no jurisdiction to seize the goods in S.E.Z. area"; seizure, confiscation and demand set aside.</w:t>
            </w:r>
          </w:p>
        </w:tc>
      </w:tr>
    </w:tbl>
    <w:p/>
    <w:p>
      <w:pPr>
        <w:pStyle w:val="Heading3"/>
      </w:pPr>
      <w:r>
        <w:t>D. The adverse authority to be met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Case</w:t>
            </w:r>
          </w:p>
        </w:tc>
        <w:tc>
          <w:tcPr>
            <w:tcW w:type="dxa" w:w="3120"/>
          </w:tcPr>
          <w:p>
            <w:r>
              <w:rPr>
                <w:b/>
              </w:rPr>
            </w:r>
            <w:r>
              <w:rPr>
                <w:b/>
              </w:rPr>
              <w:t>Citation</w:t>
            </w:r>
          </w:p>
        </w:tc>
        <w:tc>
          <w:tcPr>
            <w:tcW w:type="dxa" w:w="3120"/>
          </w:tcPr>
          <w:p>
            <w:r>
              <w:rPr>
                <w:b/>
              </w:rPr>
            </w:r>
            <w:r>
              <w:rPr>
                <w:b/>
              </w:rPr>
              <w:t>Holding</w:t>
            </w:r>
          </w:p>
        </w:tc>
      </w:tr>
      <w:tr>
        <w:tc>
          <w:tcPr>
            <w:tcW w:type="dxa" w:w="3120"/>
          </w:tcPr>
          <w:p>
            <w:r/>
            <w:r>
              <w:t>*</w:t>
            </w:r>
            <w:r>
              <w:rPr>
                <w:b/>
              </w:rPr>
              <w:t>RHC Global Exports Pvt. Ltd. v. Union of India</w:t>
            </w:r>
            <w:r>
              <w:t>*</w:t>
            </w:r>
          </w:p>
        </w:tc>
        <w:tc>
          <w:tcPr>
            <w:tcW w:type="dxa" w:w="3120"/>
          </w:tcPr>
          <w:p>
            <w:r/>
            <w:r>
              <w:t xml:space="preserve">Gujarat HC, SCA No. 5978 of 2023, 06.06.2023 </w:t>
            </w:r>
            <w:r>
              <w:rPr>
                <w:b/>
              </w:rPr>
              <w:t>[Reported]</w:t>
            </w:r>
          </w:p>
        </w:tc>
        <w:tc>
          <w:tcPr>
            <w:tcW w:type="dxa" w:w="3120"/>
          </w:tcPr>
          <w:p>
            <w:r/>
            <w:r>
              <w:t xml:space="preserve">Challenge to a </w:t>
            </w:r>
            <w:r>
              <w:rPr>
                <w:b/>
              </w:rPr>
              <w:t>search and seizure inside a SEZ unit dismissed</w:t>
            </w:r>
            <w:r>
              <w:t xml:space="preserve">: s.22 read with the notification dated 05.08.2016 permits authorised officers to act in a SEZ, and the Court noted that the </w:t>
            </w:r>
            <w:r>
              <w:rPr>
                <w:b/>
              </w:rPr>
              <w:t>DC had in fact been informed</w:t>
            </w:r>
            <w:r>
              <w:t xml:space="preserve">. Consequence: s.22 is a </w:t>
            </w:r>
            <w:r>
              <w:rPr>
                <w:b/>
              </w:rPr>
              <w:t>compliance</w:t>
            </w:r>
            <w:r>
              <w:t xml:space="preserve"> provision — who was authorised, were reasons recorded, was the DC intimated/approving — not an absolute bar.</w:t>
            </w:r>
          </w:p>
        </w:tc>
      </w:tr>
    </w:tbl>
    <w:p/>
    <w:p>
      <w:pPr>
        <w:pStyle w:val="Heading3"/>
      </w:pPr>
      <w:r>
        <w:t>E. Provisional release / re-export authorities to carry to the hearing</w:t>
      </w:r>
    </w:p>
    <w:p>
      <w:pPr>
        <w:pStyle w:val="ListBullet"/>
      </w:pPr>
      <w:r>
        <w:rPr>
          <w:i/>
        </w:rPr>
        <w:t>Siemens Ltd. v. Collector of Customs</w:t>
      </w:r>
      <w:r>
        <w:t xml:space="preserve">, 1999 (113) E.L.T. 776 (SC) </w:t>
      </w:r>
      <w:r>
        <w:rPr>
          <w:b/>
        </w:rPr>
        <w:t>[Reported]</w:t>
      </w:r>
    </w:p>
    <w:p>
      <w:pPr>
        <w:pStyle w:val="ListBullet"/>
      </w:pPr>
      <w:r>
        <w:rPr>
          <w:i/>
        </w:rPr>
        <w:t>Navshakti Industries Pvt. Ltd.</w:t>
      </w:r>
      <w:r>
        <w:t xml:space="preserve">, 2011 (269) E.L.T. (A-146) (SC) </w:t>
      </w:r>
      <w:r>
        <w:rPr>
          <w:b/>
        </w:rPr>
        <w:t>[Reported]</w:t>
      </w:r>
    </w:p>
    <w:p>
      <w:pPr>
        <w:pStyle w:val="ListBullet"/>
      </w:pPr>
      <w:r>
        <w:rPr>
          <w:i/>
        </w:rPr>
        <w:t>Sankar Pandi v. Union of India</w:t>
      </w:r>
      <w:r>
        <w:t xml:space="preserve">, 2002 (141) E.L.T. 635 </w:t>
      </w:r>
      <w:r>
        <w:rPr>
          <w:b/>
        </w:rPr>
        <w:t>[Reported]</w:t>
      </w:r>
    </w:p>
    <w:p>
      <w:pPr>
        <w:pStyle w:val="ListBullet"/>
      </w:pPr>
      <w:r>
        <w:rPr>
          <w:i/>
        </w:rPr>
        <w:t>Asst. Commr. of Customs (Imports), Tuticorin v. Mahadev Enterprises</w:t>
      </w:r>
      <w:r>
        <w:t xml:space="preserve">, 2023 (3) CENTAX 8 </w:t>
      </w:r>
      <w:r>
        <w:rPr>
          <w:b/>
        </w:rPr>
        <w:t>[Reported]</w:t>
      </w:r>
    </w:p>
    <w:p>
      <w:pPr>
        <w:pStyle w:val="ListBullet"/>
      </w:pPr>
      <w:r>
        <w:rPr>
          <w:i/>
        </w:rPr>
        <w:t>Whirlpool Corporation v. Registrar of Trade Marks</w:t>
      </w:r>
      <w:r>
        <w:t xml:space="preserve">, A.I.R. 1999 SC 22 — writ maintainable despite alternative remedy where jurisdiction is in question </w:t>
      </w:r>
      <w:r>
        <w:rPr>
          <w:b/>
        </w:rPr>
        <w:t>[Reported]</w:t>
      </w:r>
    </w:p>
    <w:p>
      <w:pPr>
        <w:pStyle w:val="Heading2"/>
      </w:pPr>
      <w:r>
        <w:t>PART VI — CBIC CIRCULARS ON DETENTION, SAMPLING AND TESTING</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Circular</w:t>
            </w:r>
          </w:p>
        </w:tc>
        <w:tc>
          <w:tcPr>
            <w:tcW w:type="dxa" w:w="4680"/>
          </w:tcPr>
          <w:p>
            <w:r>
              <w:rPr>
                <w:b/>
              </w:rPr>
            </w:r>
            <w:r>
              <w:rPr>
                <w:b/>
              </w:rPr>
              <w:t>Effect</w:t>
            </w:r>
          </w:p>
        </w:tc>
      </w:tr>
      <w:tr>
        <w:tc>
          <w:tcPr>
            <w:tcW w:type="dxa" w:w="4680"/>
          </w:tcPr>
          <w:p>
            <w:r/>
            <w:r>
              <w:t>Circular No. 84/95-Cus.</w:t>
            </w:r>
          </w:p>
        </w:tc>
        <w:tc>
          <w:tcPr>
            <w:tcW w:type="dxa" w:w="4680"/>
          </w:tcPr>
          <w:p>
            <w:r/>
            <w:r>
              <w:t>Avoid prolonged detention of goods; warehouse pending clearance</w:t>
            </w:r>
          </w:p>
        </w:tc>
      </w:tr>
      <w:tr>
        <w:tc>
          <w:tcPr>
            <w:tcW w:type="dxa" w:w="4680"/>
          </w:tcPr>
          <w:p>
            <w:r/>
            <w:r>
              <w:t>Circular No. 01/2011-Cus., para 4</w:t>
            </w:r>
          </w:p>
        </w:tc>
        <w:tc>
          <w:tcPr>
            <w:tcW w:type="dxa" w:w="4680"/>
          </w:tcPr>
          <w:p>
            <w:r/>
            <w:r>
              <w:t>Provisional release framework; expeditious testing</w:t>
            </w:r>
          </w:p>
        </w:tc>
      </w:tr>
      <w:tr>
        <w:tc>
          <w:tcPr>
            <w:tcW w:type="dxa" w:w="4680"/>
          </w:tcPr>
          <w:p>
            <w:r/>
            <w:r>
              <w:t>Circular No. 30/2013-Cus.</w:t>
            </w:r>
          </w:p>
        </w:tc>
        <w:tc>
          <w:tcPr>
            <w:tcW w:type="dxa" w:w="4680"/>
          </w:tcPr>
          <w:p>
            <w:r/>
            <w:r>
              <w:t>Test reports to be obtained quickly; escalation where testing exceeds three days</w:t>
            </w:r>
          </w:p>
        </w:tc>
      </w:tr>
      <w:tr>
        <w:tc>
          <w:tcPr>
            <w:tcW w:type="dxa" w:w="4680"/>
          </w:tcPr>
          <w:p>
            <w:r/>
            <w:r>
              <w:t>Circular No. 30/2017-Cus.</w:t>
            </w:r>
          </w:p>
        </w:tc>
        <w:tc>
          <w:tcPr>
            <w:tcW w:type="dxa" w:w="4680"/>
          </w:tcPr>
          <w:p>
            <w:r/>
            <w:r>
              <w:t>Sampling in the presence of the importer with certification; results to be communicated immediately</w:t>
            </w:r>
          </w:p>
        </w:tc>
      </w:tr>
      <w:tr>
        <w:tc>
          <w:tcPr>
            <w:tcW w:type="dxa" w:w="4680"/>
          </w:tcPr>
          <w:p>
            <w:r/>
            <w:r>
              <w:t>Circular No. 43/2017-Cus.</w:t>
            </w:r>
          </w:p>
        </w:tc>
        <w:tc>
          <w:tcPr>
            <w:tcW w:type="dxa" w:w="4680"/>
          </w:tcPr>
          <w:p>
            <w:r/>
            <w:r>
              <w:t>Re-test procedure and sampling technique</w:t>
            </w:r>
          </w:p>
        </w:tc>
      </w:tr>
    </w:tbl>
    <w:p/>
    <w:p>
      <w:pPr>
        <w:jc w:val="both"/>
      </w:pPr>
      <w:r>
        <w:rPr>
          <w:b/>
        </w:rPr>
        <w:t>[Reported — all five to be printed from the CBIC site and paginated as annexures; verify current status/supersession.]</w:t>
      </w:r>
    </w:p>
    <w:p>
      <w:pPr>
        <w:pStyle w:val="Heading2"/>
      </w:pPr>
      <w:r>
        <w:t>PART VII — THE MEPZ SOP FOR BLISTER COPPER (CTH 7402)</w:t>
      </w:r>
    </w:p>
    <w:p>
      <w:pPr>
        <w:jc w:val="both"/>
      </w:pPr>
      <w:r>
        <w:t xml:space="preserve">F.No. </w:t>
      </w:r>
      <w:r>
        <w:rPr>
          <w:b/>
        </w:rPr>
        <w:t>MEPZ-MSM043(C)/226/2025-SEZ Chennai</w:t>
      </w:r>
      <w:r>
        <w:t xml:space="preserve">, e-file No. </w:t>
      </w:r>
      <w:r>
        <w:rPr>
          <w:b/>
        </w:rPr>
        <w:t>I/131691/2026</w:t>
      </w:r>
      <w:r>
        <w:t xml:space="preserve"> — "Standard Operating Procedure (SOP) — Clearance of Blister Copper under CTH 7402". Applies to all blister copper consignments under CTH 7402 warehoused on a Z-Bill and later cleared on a T-Bill. </w:t>
      </w:r>
      <w:r>
        <w:rPr>
          <w:b/>
        </w:rPr>
        <w:t>[Verified — full text read; the copy supplied bears no date, so a dated office copy must be obtained.]</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Clause</w:t>
            </w:r>
          </w:p>
        </w:tc>
        <w:tc>
          <w:tcPr>
            <w:tcW w:type="dxa" w:w="4680"/>
          </w:tcPr>
          <w:p>
            <w:r>
              <w:rPr>
                <w:b/>
              </w:rPr>
            </w:r>
            <w:r>
              <w:rPr>
                <w:b/>
              </w:rPr>
              <w:t>Requirement</w:t>
            </w:r>
          </w:p>
        </w:tc>
      </w:tr>
      <w:tr>
        <w:tc>
          <w:tcPr>
            <w:tcW w:type="dxa" w:w="4680"/>
          </w:tcPr>
          <w:p>
            <w:r/>
            <w:r>
              <w:t>3(a)</w:t>
            </w:r>
          </w:p>
        </w:tc>
        <w:tc>
          <w:tcPr>
            <w:tcW w:type="dxa" w:w="4680"/>
          </w:tcPr>
          <w:p>
            <w:r/>
            <w:r>
              <w:rPr>
                <w:b/>
              </w:rPr>
              <w:t>100% examination at the time of warehousing</w:t>
            </w:r>
          </w:p>
        </w:tc>
      </w:tr>
      <w:tr>
        <w:tc>
          <w:tcPr>
            <w:tcW w:type="dxa" w:w="4680"/>
          </w:tcPr>
          <w:p>
            <w:r/>
            <w:r>
              <w:t>3(b)</w:t>
            </w:r>
          </w:p>
        </w:tc>
        <w:tc>
          <w:tcPr>
            <w:tcW w:type="dxa" w:w="4680"/>
          </w:tcPr>
          <w:p>
            <w:r/>
            <w:r>
              <w:t xml:space="preserve">Examination </w:t>
            </w:r>
            <w:r>
              <w:rPr>
                <w:b/>
              </w:rPr>
              <w:t>by the Authorised Officer</w:t>
            </w:r>
            <w:r>
              <w:t xml:space="preserve"> — description, quantity, packing, marks and physical verification</w:t>
            </w:r>
          </w:p>
        </w:tc>
      </w:tr>
      <w:tr>
        <w:tc>
          <w:tcPr>
            <w:tcW w:type="dxa" w:w="4680"/>
          </w:tcPr>
          <w:p>
            <w:r/>
            <w:r>
              <w:t>4(a)</w:t>
            </w:r>
          </w:p>
        </w:tc>
        <w:tc>
          <w:tcPr>
            <w:tcW w:type="dxa" w:w="4680"/>
          </w:tcPr>
          <w:p>
            <w:r/>
            <w:r>
              <w:t xml:space="preserve">Sampling </w:t>
            </w:r>
            <w:r>
              <w:rPr>
                <w:b/>
              </w:rPr>
              <w:t>at the warehousing examination</w:t>
            </w:r>
          </w:p>
        </w:tc>
      </w:tr>
      <w:tr>
        <w:tc>
          <w:tcPr>
            <w:tcW w:type="dxa" w:w="4680"/>
          </w:tcPr>
          <w:p>
            <w:r/>
            <w:r>
              <w:t>4(b)</w:t>
            </w:r>
          </w:p>
        </w:tc>
        <w:tc>
          <w:tcPr>
            <w:tcW w:type="dxa" w:w="4680"/>
          </w:tcPr>
          <w:p>
            <w:r/>
            <w:r>
              <w:rPr>
                <w:b/>
              </w:rPr>
              <w:t>Three</w:t>
            </w:r>
            <w:r>
              <w:t xml:space="preserve"> representative sample sets in tamper-proof bags/containers</w:t>
            </w:r>
          </w:p>
        </w:tc>
      </w:tr>
      <w:tr>
        <w:tc>
          <w:tcPr>
            <w:tcW w:type="dxa" w:w="4680"/>
          </w:tcPr>
          <w:p>
            <w:r/>
            <w:r>
              <w:t>4(c)</w:t>
            </w:r>
          </w:p>
        </w:tc>
        <w:tc>
          <w:tcPr>
            <w:tcW w:type="dxa" w:w="4680"/>
          </w:tcPr>
          <w:p>
            <w:r/>
            <w:r>
              <w:t xml:space="preserve">Compliance with the </w:t>
            </w:r>
            <w:r>
              <w:rPr>
                <w:b/>
              </w:rPr>
              <w:t>Chennai Customs Sampling Procedure / Standing Instructions</w:t>
            </w:r>
            <w:r>
              <w:t xml:space="preserve"> (to be obtained)</w:t>
            </w:r>
          </w:p>
        </w:tc>
      </w:tr>
      <w:tr>
        <w:tc>
          <w:tcPr>
            <w:tcW w:type="dxa" w:w="4680"/>
          </w:tcPr>
          <w:p>
            <w:r/>
            <w:r>
              <w:t>4(d)</w:t>
            </w:r>
          </w:p>
        </w:tc>
        <w:tc>
          <w:tcPr>
            <w:tcW w:type="dxa" w:w="4680"/>
          </w:tcPr>
          <w:p>
            <w:r/>
            <w:r>
              <w:t xml:space="preserve">Record of sample identifiers, </w:t>
            </w:r>
            <w:r>
              <w:rPr>
                <w:b/>
              </w:rPr>
              <w:t>seal numbers</w:t>
            </w:r>
            <w:r>
              <w:t>, Bill of Entry details and package references</w:t>
            </w:r>
          </w:p>
        </w:tc>
      </w:tr>
      <w:tr>
        <w:tc>
          <w:tcPr>
            <w:tcW w:type="dxa" w:w="4680"/>
          </w:tcPr>
          <w:p>
            <w:r/>
            <w:r>
              <w:t>5(a)</w:t>
            </w:r>
          </w:p>
        </w:tc>
        <w:tc>
          <w:tcPr>
            <w:tcW w:type="dxa" w:w="4680"/>
          </w:tcPr>
          <w:p>
            <w:r/>
            <w:r>
              <w:t xml:space="preserve">First set to </w:t>
            </w:r>
            <w:r>
              <w:rPr>
                <w:b/>
              </w:rPr>
              <w:t>CRCL</w:t>
            </w:r>
            <w:r>
              <w:t xml:space="preserve"> for Fire Assay</w:t>
            </w:r>
          </w:p>
        </w:tc>
      </w:tr>
      <w:tr>
        <w:tc>
          <w:tcPr>
            <w:tcW w:type="dxa" w:w="4680"/>
          </w:tcPr>
          <w:p>
            <w:r/>
            <w:r>
              <w:t>5(b)</w:t>
            </w:r>
          </w:p>
        </w:tc>
        <w:tc>
          <w:tcPr>
            <w:tcW w:type="dxa" w:w="4680"/>
          </w:tcPr>
          <w:p>
            <w:r/>
            <w:r>
              <w:t xml:space="preserve">Second set </w:t>
            </w:r>
            <w:r>
              <w:rPr>
                <w:b/>
              </w:rPr>
              <w:t>simultaneously</w:t>
            </w:r>
            <w:r>
              <w:t xml:space="preserve"> to a </w:t>
            </w:r>
            <w:r>
              <w:rPr>
                <w:b/>
              </w:rPr>
              <w:t>NABL-accredited</w:t>
            </w:r>
            <w:r>
              <w:t xml:space="preserve"> metallurgical laboratory</w:t>
            </w:r>
          </w:p>
        </w:tc>
      </w:tr>
      <w:tr>
        <w:tc>
          <w:tcPr>
            <w:tcW w:type="dxa" w:w="4680"/>
          </w:tcPr>
          <w:p>
            <w:r/>
            <w:r>
              <w:t>5(c)</w:t>
            </w:r>
          </w:p>
        </w:tc>
        <w:tc>
          <w:tcPr>
            <w:tcW w:type="dxa" w:w="4680"/>
          </w:tcPr>
          <w:p>
            <w:r/>
            <w:r>
              <w:t xml:space="preserve">Third set </w:t>
            </w:r>
            <w:r>
              <w:rPr>
                <w:b/>
              </w:rPr>
              <w:t>retained by the Authorised Officer</w:t>
            </w:r>
          </w:p>
        </w:tc>
      </w:tr>
      <w:tr>
        <w:tc>
          <w:tcPr>
            <w:tcW w:type="dxa" w:w="4680"/>
          </w:tcPr>
          <w:p>
            <w:r/>
            <w:r>
              <w:t>6 / 6(c)</w:t>
            </w:r>
          </w:p>
        </w:tc>
        <w:tc>
          <w:tcPr>
            <w:tcW w:type="dxa" w:w="4680"/>
          </w:tcPr>
          <w:p>
            <w:r/>
            <w:r>
              <w:t xml:space="preserve">Verification of reports; </w:t>
            </w:r>
            <w:r>
              <w:rPr>
                <w:b/>
              </w:rPr>
              <w:t>Z-Bill OOC on receipt and verification of one report, whichever is earlier</w:t>
            </w:r>
          </w:p>
        </w:tc>
      </w:tr>
      <w:tr>
        <w:tc>
          <w:tcPr>
            <w:tcW w:type="dxa" w:w="4680"/>
          </w:tcPr>
          <w:p>
            <w:r/>
            <w:r>
              <w:t>7</w:t>
            </w:r>
          </w:p>
        </w:tc>
        <w:tc>
          <w:tcPr>
            <w:tcW w:type="dxa" w:w="4680"/>
          </w:tcPr>
          <w:p>
            <w:r/>
            <w:r>
              <w:t>Referral laboratory where reports materially conflict</w:t>
            </w:r>
          </w:p>
        </w:tc>
      </w:tr>
      <w:tr>
        <w:tc>
          <w:tcPr>
            <w:tcW w:type="dxa" w:w="4680"/>
          </w:tcPr>
          <w:p>
            <w:r/>
            <w:r>
              <w:t>8</w:t>
            </w:r>
          </w:p>
        </w:tc>
        <w:tc>
          <w:tcPr>
            <w:tcW w:type="dxa" w:w="4680"/>
          </w:tcPr>
          <w:p>
            <w:r/>
            <w:r>
              <w:t xml:space="preserve">Retained sample kept at least </w:t>
            </w:r>
            <w:r>
              <w:rPr>
                <w:b/>
              </w:rPr>
              <w:t>one year</w:t>
            </w:r>
            <w:r>
              <w:t xml:space="preserve"> from OOC or until proceedings conclude, whichever is later</w:t>
            </w:r>
          </w:p>
        </w:tc>
      </w:tr>
      <w:tr>
        <w:tc>
          <w:tcPr>
            <w:tcW w:type="dxa" w:w="4680"/>
          </w:tcPr>
          <w:p>
            <w:r/>
            <w:r>
              <w:t>9</w:t>
            </w:r>
          </w:p>
        </w:tc>
        <w:tc>
          <w:tcPr>
            <w:tcW w:type="dxa" w:w="4680"/>
          </w:tcPr>
          <w:p>
            <w:r/>
            <w:r>
              <w:t xml:space="preserve">Maintenance of examination, sampling, forwarding, seal, laboratory and </w:t>
            </w:r>
            <w:r>
              <w:rPr>
                <w:b/>
              </w:rPr>
              <w:t>chain-of-custody</w:t>
            </w:r>
            <w:r>
              <w:t xml:space="preserve"> records</w:t>
            </w:r>
          </w:p>
        </w:tc>
      </w:tr>
      <w:tr>
        <w:tc>
          <w:tcPr>
            <w:tcW w:type="dxa" w:w="4680"/>
          </w:tcPr>
          <w:p>
            <w:r/>
            <w:r>
              <w:t>10</w:t>
            </w:r>
          </w:p>
        </w:tc>
        <w:tc>
          <w:tcPr>
            <w:tcW w:type="dxa" w:w="4680"/>
          </w:tcPr>
          <w:p>
            <w:r/>
            <w:r>
              <w:rPr>
                <w:b/>
              </w:rPr>
              <w:t>Any deviation requires written reasons and the approval of the competent authority</w:t>
            </w:r>
          </w:p>
        </w:tc>
      </w:tr>
      <w:tr>
        <w:tc>
          <w:tcPr>
            <w:tcW w:type="dxa" w:w="4680"/>
          </w:tcPr>
          <w:p>
            <w:r/>
            <w:r>
              <w:t>11</w:t>
            </w:r>
          </w:p>
        </w:tc>
        <w:tc>
          <w:tcPr>
            <w:tcW w:type="dxa" w:w="4680"/>
          </w:tcPr>
          <w:p>
            <w:r/>
            <w:r>
              <w:t>Procedure may be incorporated into IRMS instructions (obtain the IRMS instruction if issued)</w:t>
            </w:r>
          </w:p>
        </w:tc>
      </w:tr>
    </w:tbl>
    <w:p/>
    <w:p>
      <w:pPr>
        <w:jc w:val="both"/>
      </w:pPr>
      <w:r>
        <w:t>Deviations to be pleaded: wrong occasion (samples drawn otherwise than at the warehousing examination), wrong officer (an investigation wing instead of the Authorised Officer), no examination report or seal record, inverted sequence (goods held pending testing instead of warehoused first and tested after), and no written reasons approved by the competent authority under clause 10.</w:t>
      </w:r>
    </w:p>
    <w:p>
      <w:pPr>
        <w:pStyle w:val="Heading2"/>
      </w:pPr>
      <w:r>
        <w:t>PART VIII — THE SUMMONS AND THE DIN</w:t>
      </w:r>
    </w:p>
    <w:p>
      <w:pPr>
        <w:jc w:val="both"/>
      </w:pPr>
      <w:r>
        <w:t xml:space="preserve">Summons dated </w:t>
      </w:r>
      <w:r>
        <w:rPr>
          <w:b/>
        </w:rPr>
        <w:t>10.08.2026</w:t>
      </w:r>
      <w:r>
        <w:t xml:space="preserve">, F.No. </w:t>
      </w:r>
      <w:r>
        <w:rPr>
          <w:b/>
        </w:rPr>
        <w:t>GEN/INV/DR/170//2026-SIIB</w:t>
      </w:r>
      <w:r>
        <w:t xml:space="preserve">, </w:t>
      </w:r>
      <w:r>
        <w:rPr>
          <w:b/>
        </w:rPr>
        <w:t>DIN 20260873MY0000276822</w:t>
      </w:r>
      <w:r>
        <w:t xml:space="preserve">, issued by Shri Rajeev Kumar, SIO/Superintendent, SIIB, </w:t>
      </w:r>
      <w:r>
        <w:rPr>
          <w:b/>
        </w:rPr>
        <w:t>Chennai-III (Preventive) Commissionerate</w:t>
      </w:r>
      <w:r>
        <w:t xml:space="preserve">, requiring attendance of Shri A. Krishnesh Raja in person </w:t>
      </w:r>
      <w:r>
        <w:rPr>
          <w:b/>
        </w:rPr>
        <w:t>on 10.08.2026 at 05:00 p.m.</w:t>
      </w:r>
      <w:r>
        <w:t xml:space="preserve"> at the O/o Customs Authorised Officer, FTWZ Unit at NDR Infrastructure Pvt. Ltd. FTWZ — that is, on the day of issue and at the Petitioner's own premises.</w:t>
      </w:r>
    </w:p>
    <w:p>
      <w:pPr>
        <w:jc w:val="both"/>
      </w:pPr>
      <w:r>
        <w:t xml:space="preserve">CBIC DIN verification (esanchar.cbic.gov.in) </w:t>
      </w:r>
      <w:r>
        <w:rPr>
          <w:b/>
        </w:rPr>
        <w:t>[Verified — portal response and the client's PDF agree]</w:t>
      </w:r>
      <w:r>
        <w:t>:</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Field</w:t>
            </w:r>
          </w:p>
        </w:tc>
        <w:tc>
          <w:tcPr>
            <w:tcW w:type="dxa" w:w="4680"/>
          </w:tcPr>
          <w:p>
            <w:r>
              <w:rPr>
                <w:b/>
              </w:rPr>
            </w:r>
            <w:r>
              <w:rPr>
                <w:b/>
              </w:rPr>
              <w:t>Value</w:t>
            </w:r>
          </w:p>
        </w:tc>
      </w:tr>
      <w:tr>
        <w:tc>
          <w:tcPr>
            <w:tcW w:type="dxa" w:w="4680"/>
          </w:tcPr>
          <w:p>
            <w:r/>
            <w:r>
              <w:t>Result</w:t>
            </w:r>
          </w:p>
        </w:tc>
        <w:tc>
          <w:tcPr>
            <w:tcW w:type="dxa" w:w="4680"/>
          </w:tcPr>
          <w:p>
            <w:r/>
            <w:r>
              <w:t>"This is a valid DIN"</w:t>
            </w:r>
          </w:p>
        </w:tc>
      </w:tr>
      <w:tr>
        <w:tc>
          <w:tcPr>
            <w:tcW w:type="dxa" w:w="4680"/>
          </w:tcPr>
          <w:p>
            <w:r/>
            <w:r>
              <w:t>Issuing office</w:t>
            </w:r>
          </w:p>
        </w:tc>
        <w:tc>
          <w:tcPr>
            <w:tcW w:type="dxa" w:w="4680"/>
          </w:tcPr>
          <w:p>
            <w:r/>
            <w:r>
              <w:t>Chennai-III (Preventive) Customs Commissionerate</w:t>
            </w:r>
          </w:p>
        </w:tc>
      </w:tr>
      <w:tr>
        <w:tc>
          <w:tcPr>
            <w:tcW w:type="dxa" w:w="4680"/>
          </w:tcPr>
          <w:p>
            <w:r/>
            <w:r>
              <w:t>Date of generation</w:t>
            </w:r>
          </w:p>
        </w:tc>
        <w:tc>
          <w:tcPr>
            <w:tcW w:type="dxa" w:w="4680"/>
          </w:tcPr>
          <w:p>
            <w:r/>
            <w:r>
              <w:rPr>
                <w:b/>
              </w:rPr>
              <w:t>2026-08-10 21:05:58</w:t>
            </w:r>
          </w:p>
        </w:tc>
      </w:tr>
      <w:tr>
        <w:tc>
          <w:tcPr>
            <w:tcW w:type="dxa" w:w="4680"/>
          </w:tcPr>
          <w:p>
            <w:r/>
            <w:r>
              <w:t>Communication category</w:t>
            </w:r>
          </w:p>
        </w:tc>
        <w:tc>
          <w:tcPr>
            <w:tcW w:type="dxa" w:w="4680"/>
          </w:tcPr>
          <w:p>
            <w:r/>
            <w:r>
              <w:t>Other Communication</w:t>
            </w:r>
          </w:p>
        </w:tc>
      </w:tr>
      <w:tr>
        <w:tc>
          <w:tcPr>
            <w:tcW w:type="dxa" w:w="4680"/>
          </w:tcPr>
          <w:p>
            <w:r/>
            <w:r>
              <w:t>Sub-category</w:t>
            </w:r>
          </w:p>
        </w:tc>
        <w:tc>
          <w:tcPr>
            <w:tcW w:type="dxa" w:w="4680"/>
          </w:tcPr>
          <w:p>
            <w:r/>
            <w:r>
              <w:t>letters</w:t>
            </w:r>
          </w:p>
        </w:tc>
      </w:tr>
      <w:tr>
        <w:tc>
          <w:tcPr>
            <w:tcW w:type="dxa" w:w="4680"/>
          </w:tcPr>
          <w:p>
            <w:r/>
            <w:r>
              <w:t>Stream</w:t>
            </w:r>
          </w:p>
        </w:tc>
        <w:tc>
          <w:tcPr>
            <w:tcW w:type="dxa" w:w="4680"/>
          </w:tcPr>
          <w:p>
            <w:r/>
            <w:r>
              <w:t>CGST</w:t>
            </w:r>
          </w:p>
        </w:tc>
      </w:tr>
    </w:tbl>
    <w:p/>
    <w:p>
      <w:pPr>
        <w:jc w:val="both"/>
      </w:pPr>
      <w:r>
        <w:t xml:space="preserve">How to plead it: as </w:t>
      </w:r>
      <w:r>
        <w:rPr>
          <w:b/>
        </w:rPr>
        <w:t>facts from the Department's own record</w:t>
      </w:r>
      <w:r>
        <w:t xml:space="preserve">, coupled with a call for the issuance and service record — attendance was required at 5.00 p.m. while the DIN was generated at about 9.06 p.m. the same day. Do </w:t>
      </w:r>
      <w:r>
        <w:rPr>
          <w:b/>
        </w:rPr>
        <w:t>not</w:t>
      </w:r>
      <w:r>
        <w:t xml:space="preserve"> plead that the summons is void merely because of the timestamp, the "letters" sub-category or the "CGST" stream. Establish the </w:t>
      </w:r>
      <w:r>
        <w:rPr>
          <w:b/>
        </w:rPr>
        <w:t>actual time of service</w:t>
      </w:r>
      <w:r>
        <w:t xml:space="preserve"> on Shri Krishnesh Raja first; the Department will say the paper was served earlier and only the DIN record was generated later.</w:t>
      </w:r>
    </w:p>
    <w:p>
      <w:pPr>
        <w:pStyle w:val="Heading2"/>
      </w:pPr>
      <w:r>
        <w:t>PART IX — DOCUMENTS AND RECORDS TO BE CALLED FOR OR OBTAINED</w:t>
      </w:r>
    </w:p>
    <w:p>
      <w:pPr>
        <w:pStyle w:val="ListNumber"/>
      </w:pPr>
      <w:r>
        <w:t xml:space="preserve">Detention order / seizure memo, and the </w:t>
      </w:r>
      <w:r>
        <w:rPr>
          <w:b/>
        </w:rPr>
        <w:t>grounds of belief recorded in writing</w:t>
      </w:r>
      <w:r>
        <w:t xml:space="preserve"> (s.110) for both consignments.</w:t>
      </w:r>
    </w:p>
    <w:p>
      <w:pPr>
        <w:pStyle w:val="ListNumber"/>
      </w:pPr>
      <w:r>
        <w:t xml:space="preserve">Mahazar / panchanama, inventory, and the </w:t>
      </w:r>
      <w:r>
        <w:rPr>
          <w:b/>
        </w:rPr>
        <w:t>sample receipt under s.144</w:t>
      </w:r>
      <w:r>
        <w:t>; sampling memo and test memo; package, seal and laboratory forwarding details.</w:t>
      </w:r>
    </w:p>
    <w:p>
      <w:pPr>
        <w:pStyle w:val="ListNumber"/>
      </w:pPr>
      <w:r>
        <w:t xml:space="preserve">The </w:t>
      </w:r>
      <w:r>
        <w:rPr>
          <w:b/>
        </w:rPr>
        <w:t>authorisation</w:t>
      </w:r>
      <w:r>
        <w:t xml:space="preserve"> for the drawal of samples on 07.08.2026 and 10.08.2026.</w:t>
      </w:r>
    </w:p>
    <w:p>
      <w:pPr>
        <w:pStyle w:val="ListNumber"/>
      </w:pPr>
      <w:r>
        <w:t xml:space="preserve">Authorisation/delegation in favour of the acting SIIB officers; the </w:t>
      </w:r>
      <w:r>
        <w:rPr>
          <w:b/>
        </w:rPr>
        <w:t>reasons recorded in writing</w:t>
      </w:r>
      <w:r>
        <w:t xml:space="preserve"> and the </w:t>
      </w:r>
      <w:r>
        <w:rPr>
          <w:b/>
        </w:rPr>
        <w:t>intimation to / approval of the Development Commissioner</w:t>
      </w:r>
      <w:r>
        <w:t xml:space="preserve"> under s.22 SEZ Act.</w:t>
      </w:r>
    </w:p>
    <w:p>
      <w:pPr>
        <w:pStyle w:val="ListNumber"/>
      </w:pPr>
      <w:r>
        <w:t>Copy of the statement of Shri A. Krishnesh Raja under s.108, and the record of issue and service of the summons and of DIN generation.</w:t>
      </w:r>
    </w:p>
    <w:p>
      <w:pPr>
        <w:pStyle w:val="ListNumber"/>
      </w:pPr>
      <w:r>
        <w:rPr>
          <w:b/>
        </w:rPr>
        <w:t>FTWZ CCTV footage of 10.08.2026</w:t>
      </w:r>
      <w:r>
        <w:t xml:space="preserve"> — retained for one year under DoC Instruction No. 117(iii); preserve and call for it.</w:t>
      </w:r>
    </w:p>
    <w:p>
      <w:pPr>
        <w:pStyle w:val="ListNumber"/>
      </w:pPr>
      <w:r>
        <w:t>Custodian/warehouse records: s.45 custody, tally, stock and warehousing records; NDR FTWZ gate and ERP/SAP records (Instruction No. 117(iv)).</w:t>
      </w:r>
    </w:p>
    <w:p>
      <w:pPr>
        <w:pStyle w:val="ListNumber"/>
      </w:pPr>
      <w:r>
        <w:t xml:space="preserve">Chennai Air Cargo Complex </w:t>
      </w:r>
      <w:r>
        <w:rPr>
          <w:b/>
        </w:rPr>
        <w:t>Public Notice on movement of SEZ/FTWZ cargo</w:t>
      </w:r>
      <w:r>
        <w:t xml:space="preserve">, and the Chennai Customs </w:t>
      </w:r>
      <w:r>
        <w:rPr>
          <w:b/>
        </w:rPr>
        <w:t>Sampling Procedure/Standing Instructions</w:t>
      </w:r>
      <w:r>
        <w:t xml:space="preserve"> referred to in SOP clause 4(c); the IRMS instruction under clause 11.</w:t>
      </w:r>
    </w:p>
    <w:p>
      <w:pPr>
        <w:pStyle w:val="ListNumber"/>
      </w:pPr>
      <w:r>
        <w:t xml:space="preserve">Dated office copy of the MEPZ SOP; prior CHL/CRCL reports (Lab Nos. 9319–9324-MEPZ) and the </w:t>
      </w:r>
      <w:r>
        <w:rPr>
          <w:b/>
        </w:rPr>
        <w:t>18 prior clearances between 25.11.2025 and 01.08.2026</w:t>
      </w:r>
      <w:r>
        <w:t>.</w:t>
      </w:r>
    </w:p>
    <w:p>
      <w:pPr>
        <w:pStyle w:val="ListNumber"/>
      </w:pPr>
      <w:r>
        <w:t>Dated printout of the ICEGATE "FAQs on SEZ filing (Part-I)" (Query 9) and the DG Systems SEZ advisories.</w:t>
      </w:r>
    </w:p>
    <w:p>
      <w:pPr>
        <w:pStyle w:val="ListNumber"/>
      </w:pPr>
      <w:r>
        <w:t xml:space="preserve">Certified/reported copies of </w:t>
      </w:r>
      <w:r>
        <w:rPr>
          <w:i/>
        </w:rPr>
        <w:t>J.K. Exim</w:t>
      </w:r>
      <w:r>
        <w:t xml:space="preserve">, </w:t>
      </w:r>
      <w:r>
        <w:rPr>
          <w:i/>
        </w:rPr>
        <w:t>Shaurya International</w:t>
      </w:r>
      <w:r>
        <w:t xml:space="preserve">, </w:t>
      </w:r>
      <w:r>
        <w:rPr>
          <w:i/>
        </w:rPr>
        <w:t>Morgan Tectronics</w:t>
      </w:r>
      <w:r>
        <w:t xml:space="preserve">, </w:t>
      </w:r>
      <w:r>
        <w:rPr>
          <w:i/>
        </w:rPr>
        <w:t>Bharat J. Gandhi</w:t>
      </w:r>
      <w:r>
        <w:t xml:space="preserve"> and </w:t>
      </w:r>
      <w:r>
        <w:rPr>
          <w:i/>
        </w:rPr>
        <w:t>Meenakshi International</w:t>
      </w:r>
      <w:r>
        <w:t>.</w:t>
      </w:r>
    </w:p>
    <w:p>
      <w:pPr>
        <w:pStyle w:val="Heading2"/>
      </w:pPr>
      <w:r>
        <w:t>PART X — OPEN FACTS THAT MUST BE SETTLED BEFORE FILING</w:t>
      </w:r>
    </w:p>
    <w:p>
      <w:pPr>
        <w:pStyle w:val="ListNumber"/>
      </w:pPr>
      <w:r>
        <w:t xml:space="preserve">Bill of Entry number and date of the </w:t>
      </w:r>
      <w:r>
        <w:rPr>
          <w:b/>
        </w:rPr>
        <w:t>second</w:t>
      </w:r>
      <w:r>
        <w:t xml:space="preserve"> consignment (the one warehoused in the FTWZ).</w:t>
      </w:r>
    </w:p>
    <w:p>
      <w:pPr>
        <w:pStyle w:val="ListNumber"/>
      </w:pPr>
      <w:r>
        <w:t>Date of the written demand to SIIB (and proof of despatch).</w:t>
      </w:r>
    </w:p>
    <w:p>
      <w:pPr>
        <w:pStyle w:val="ListNumber"/>
      </w:pPr>
      <w:r>
        <w:t xml:space="preserve">Whether a </w:t>
      </w:r>
      <w:r>
        <w:rPr>
          <w:b/>
        </w:rPr>
        <w:t>s.110A application</w:t>
      </w:r>
      <w:r>
        <w:t xml:space="preserve"> has in fact been filed.</w:t>
      </w:r>
    </w:p>
    <w:p>
      <w:pPr>
        <w:pStyle w:val="ListNumber"/>
      </w:pPr>
      <w:r>
        <w:t xml:space="preserve">The </w:t>
      </w:r>
      <w:r>
        <w:rPr>
          <w:b/>
        </w:rPr>
        <w:t>actual time of service</w:t>
      </w:r>
      <w:r>
        <w:t xml:space="preserve"> of the summons on Shri A. Krishnesh Raja.</w:t>
      </w:r>
    </w:p>
    <w:p>
      <w:pPr>
        <w:pStyle w:val="ListNumber"/>
      </w:pPr>
      <w:r>
        <w:t xml:space="preserve">Whether he </w:t>
      </w:r>
      <w:r>
        <w:rPr>
          <w:b/>
        </w:rPr>
        <w:t>signed</w:t>
      </w:r>
      <w:r>
        <w:t xml:space="preserve"> the statement and whether a copy was given to him.</w:t>
      </w:r>
    </w:p>
    <w:p>
      <w:pPr>
        <w:pStyle w:val="ListNumber"/>
      </w:pPr>
      <w:r>
        <w:t>Whether any acknowledgement, mahazar or sample receipt was signed at the FTWZ.</w:t>
      </w:r>
    </w:p>
    <w:p>
      <w:pPr>
        <w:pStyle w:val="ListNumber"/>
      </w:pPr>
      <w:r>
        <w:t xml:space="preserve">Whether the FTWZ goods remain in the Unit </w:t>
      </w:r>
      <w:r>
        <w:rPr>
          <w:b/>
        </w:rPr>
        <w:t>under seal</w:t>
      </w:r>
      <w:r>
        <w:t xml:space="preserve"> or have been removed.</w:t>
      </w:r>
    </w:p>
    <w:p>
      <w:pPr>
        <w:pStyle w:val="ListNumber"/>
      </w:pPr>
      <w:r>
        <w:t xml:space="preserve">Whether a formal </w:t>
      </w:r>
      <w:r>
        <w:rPr>
          <w:b/>
        </w:rPr>
        <w:t>seizure memo</w:t>
      </w:r>
      <w:r>
        <w:t xml:space="preserve"> is served after filing (the petitions would then be amended to press s.110A).</w:t>
      </w:r>
    </w:p>
    <w:p>
      <w:pPr>
        <w:pStyle w:val="ListNumber"/>
      </w:pPr>
      <w:r>
        <w:t>Status of Gemtec Jewellery FZE (client authorisation/NOC) and the FTWZ agreement/allotment papers.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