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HIGH COURT OF JUDICATURE AT MADRAS</w:t>
      </w:r>
    </w:p>
    <w:p>
      <w:pPr>
        <w:jc w:val="center"/>
      </w:pPr>
      <w:r>
        <w:rPr>
          <w:b w:val="0"/>
        </w:rPr>
        <w:t>(SPECIAL ORIGINAL JURISDICTION)</w:t>
      </w:r>
    </w:p>
    <w:p>
      <w:pPr>
        <w:jc w:val="center"/>
      </w:pPr>
      <w:r>
        <w:rPr>
          <w:b/>
        </w:rPr>
        <w:t>W.P. No. ________ of 2026</w:t>
      </w:r>
    </w:p>
    <w:p>
      <w:pPr>
        <w:jc w:val="center"/>
      </w:pPr>
      <w:r>
        <w:rPr>
          <w:b w:val="0"/>
        </w:rPr>
        <w:t>(Petition under Article 226 of the Constitution of India)</w:t>
      </w:r>
    </w:p>
    <w:p/>
    <w:p>
      <w:pPr>
        <w:jc w:val="center"/>
      </w:pPr>
      <w:r>
        <w:rPr>
          <w:b/>
        </w:rPr>
        <w:t>In the matter of:</w:t>
      </w:r>
    </w:p>
    <w:p>
      <w:pPr>
        <w:jc w:val="both"/>
      </w:pPr>
      <w:r>
        <w:rPr>
          <w:b w:val="0"/>
        </w:rPr>
        <w:t>Aaapurti Renewable Energy India Private Limited,</w:t>
      </w:r>
    </w:p>
    <w:p>
      <w:pPr>
        <w:jc w:val="both"/>
      </w:pPr>
      <w:r>
        <w:rPr>
          <w:b w:val="0"/>
        </w:rPr>
        <w:t>a company incorporated under the Companies Act, 2013,</w:t>
      </w:r>
    </w:p>
    <w:p>
      <w:pPr>
        <w:jc w:val="both"/>
      </w:pPr>
      <w:r>
        <w:rPr>
          <w:b w:val="0"/>
        </w:rPr>
        <w:t>having its FTWZ unit at Warehouse No. 12, Part-G, Survey Nos. 161 and 162,</w:t>
      </w:r>
    </w:p>
    <w:p>
      <w:pPr>
        <w:jc w:val="both"/>
      </w:pPr>
      <w:r>
        <w:rPr>
          <w:b w:val="0"/>
        </w:rPr>
        <w:t>at the Free Trade Warehousing Zone of M/s NDR Infrastructure Private Limited,</w:t>
      </w:r>
    </w:p>
    <w:p>
      <w:pPr>
        <w:jc w:val="both"/>
      </w:pPr>
      <w:r>
        <w:rPr>
          <w:b w:val="0"/>
        </w:rPr>
        <w:t>Nandiambakkam Port Road, Chennai, Tiruvallur District, Tamil Nadu - 600 120,</w:t>
      </w:r>
    </w:p>
    <w:p>
      <w:pPr>
        <w:jc w:val="both"/>
      </w:pPr>
      <w:r>
        <w:rPr>
          <w:b w:val="0"/>
        </w:rPr>
        <w:t>within the jurisdiction of the Development Commissioner, MEPZ Special Economic Zone,</w:t>
      </w:r>
    </w:p>
    <w:p>
      <w:pPr>
        <w:jc w:val="both"/>
      </w:pPr>
      <w:r>
        <w:rPr>
          <w:b w:val="0"/>
        </w:rPr>
        <w:t>represented by its Authorised Signatory</w:t>
      </w:r>
    </w:p>
    <w:p>
      <w:pPr>
        <w:jc w:val="both"/>
      </w:pPr>
      <w:r>
        <w:rPr>
          <w:b w:val="0"/>
        </w:rPr>
        <w:t>Sri/Smt. ____________________                                   ... Petitioner</w:t>
      </w:r>
    </w:p>
    <w:p/>
    <w:p>
      <w:pPr>
        <w:jc w:val="center"/>
      </w:pPr>
      <w:r>
        <w:rPr>
          <w:b w:val="0"/>
        </w:rPr>
        <w:t>Versus</w:t>
      </w:r>
    </w:p>
    <w:p/>
    <w:p>
      <w:pPr>
        <w:jc w:val="both"/>
      </w:pPr>
      <w:r>
        <w:rPr>
          <w:b w:val="0"/>
        </w:rPr>
        <w:t>1. The Additional Commissioner of Customs,</w:t>
      </w:r>
    </w:p>
    <w:p>
      <w:pPr>
        <w:jc w:val="both"/>
      </w:pPr>
      <w:r>
        <w:rPr>
          <w:b w:val="0"/>
        </w:rPr>
        <w:t xml:space="preserve">    Special Intelligence and Investigation Branch (SIIB),</w:t>
      </w:r>
    </w:p>
    <w:p>
      <w:pPr>
        <w:jc w:val="both"/>
      </w:pPr>
      <w:r>
        <w:rPr>
          <w:b w:val="0"/>
        </w:rPr>
        <w:t xml:space="preserve">    Air Cargo Complex, Meenambakkam, Chennai - 600 027,</w:t>
      </w:r>
    </w:p>
    <w:p>
      <w:pPr>
        <w:jc w:val="both"/>
      </w:pPr>
      <w:r>
        <w:rPr>
          <w:b w:val="0"/>
        </w:rPr>
        <w:t xml:space="preserve">    through the Union of India,</w:t>
      </w:r>
    </w:p>
    <w:p>
      <w:pPr>
        <w:jc w:val="both"/>
      </w:pPr>
      <w:r>
        <w:rPr>
          <w:b w:val="0"/>
        </w:rPr>
        <w:t xml:space="preserve">    represented by the Secretary to Government,</w:t>
      </w:r>
    </w:p>
    <w:p>
      <w:pPr>
        <w:jc w:val="both"/>
      </w:pPr>
      <w:r>
        <w:rPr>
          <w:b w:val="0"/>
        </w:rPr>
        <w:t xml:space="preserve">    Ministry of Finance, Department of Revenue,</w:t>
      </w:r>
    </w:p>
    <w:p>
      <w:pPr>
        <w:jc w:val="both"/>
      </w:pPr>
      <w:r>
        <w:rPr>
          <w:b w:val="0"/>
        </w:rPr>
        <w:t xml:space="preserve">    North Block, New Delhi - 110 001.                             ... Respondent No. 1</w:t>
      </w:r>
    </w:p>
    <w:p>
      <w:pPr>
        <w:jc w:val="both"/>
      </w:pPr>
      <w:r>
        <w:rPr>
          <w:b w:val="0"/>
        </w:rPr>
        <w:t xml:space="preserve">    (the authority whose officers have detained the consignment covered by Bill of Entry No. 2875354 dated 01.08.2026 at the Air Cargo Complex and drawn samples therefrom on 07.08.2026)</w:t>
      </w:r>
    </w:p>
    <w:p/>
    <w:p>
      <w:pPr>
        <w:jc w:val="both"/>
      </w:pPr>
      <w:r>
        <w:rPr>
          <w:b w:val="0"/>
        </w:rPr>
        <w:t>2. The Commissioner of Customs,</w:t>
      </w:r>
    </w:p>
    <w:p>
      <w:pPr>
        <w:jc w:val="both"/>
      </w:pPr>
      <w:r>
        <w:rPr>
          <w:b w:val="0"/>
        </w:rPr>
        <w:t xml:space="preserve">    Air Cargo Complex, Meenambakkam,</w:t>
      </w:r>
    </w:p>
    <w:p>
      <w:pPr>
        <w:jc w:val="both"/>
      </w:pPr>
      <w:r>
        <w:rPr>
          <w:b w:val="0"/>
        </w:rPr>
        <w:t xml:space="preserve">    Chennai - 600 027.                                             ... Respondent No. 2</w:t>
      </w:r>
    </w:p>
    <w:p/>
    <w:p>
      <w:pPr>
        <w:jc w:val="both"/>
      </w:pPr>
      <w:r>
        <w:rPr>
          <w:b w:val="0"/>
        </w:rPr>
        <w:t>3. The Development Commissioner,</w:t>
      </w:r>
    </w:p>
    <w:p>
      <w:pPr>
        <w:jc w:val="both"/>
      </w:pPr>
      <w:r>
        <w:rPr>
          <w:b w:val="0"/>
        </w:rPr>
        <w:t xml:space="preserve">    MEPZ Special Economic Zone, National Highway 45,</w:t>
      </w:r>
    </w:p>
    <w:p>
      <w:pPr>
        <w:jc w:val="both"/>
      </w:pPr>
      <w:r>
        <w:rPr>
          <w:b w:val="0"/>
        </w:rPr>
        <w:t xml:space="preserve">    Tambaram, Chennai - 600 045.                                   ... Respondent No. 3</w:t>
      </w:r>
    </w:p>
    <w:p>
      <w:pPr>
        <w:jc w:val="both"/>
      </w:pPr>
      <w:r>
        <w:rPr>
          <w:b w:val="0"/>
        </w:rPr>
        <w:t xml:space="preserve">    (the authority administering the SEZ and the issuer of the Standard Operating Procedure "Clearance of Blister Copper under CTH 7402" bearing F.No. MEPZ-MSM043(C)/226/2025-SEZ Chennai (e-file No. I/131691/2026))</w:t>
      </w:r>
    </w:p>
    <w:p/>
    <w:p>
      <w:pPr>
        <w:jc w:val="both"/>
      </w:pPr>
      <w:r>
        <w:rPr>
          <w:b w:val="0"/>
        </w:rPr>
        <w:t>4. The Specified Officer / Authorised Officer,</w:t>
      </w:r>
    </w:p>
    <w:p>
      <w:pPr>
        <w:jc w:val="both"/>
      </w:pPr>
      <w:r>
        <w:rPr>
          <w:b w:val="0"/>
        </w:rPr>
        <w:t xml:space="preserve">    MEPZ Special Economic Zone,</w:t>
      </w:r>
    </w:p>
    <w:p>
      <w:pPr>
        <w:jc w:val="both"/>
      </w:pPr>
      <w:r>
        <w:rPr>
          <w:b w:val="0"/>
        </w:rPr>
        <w:t xml:space="preserve">    Tambaram, Chennai - 600 045.                                   ... Respondent No. 4</w:t>
      </w:r>
    </w:p>
    <w:p/>
    <w:p/>
    <w:p>
      <w:pPr>
        <w:jc w:val="center"/>
      </w:pPr>
      <w:r>
        <w:rPr>
          <w:b/>
        </w:rPr>
        <w:t>MEMORANDUM OF WRIT PETITION</w:t>
      </w:r>
    </w:p>
    <w:p>
      <w:pPr>
        <w:jc w:val="both"/>
      </w:pPr>
      <w:r>
        <w:rPr>
          <w:b w:val="0"/>
        </w:rPr>
        <w:t>The address for service of all notices and processes on the Petitioner is that of its counsel M/s ____________, Advocates, No. ____________, Chennai.</w:t>
      </w:r>
    </w:p>
    <w:p>
      <w:pPr>
        <w:jc w:val="both"/>
      </w:pPr>
      <w:r>
        <w:rPr>
          <w:b w:val="0"/>
        </w:rPr>
        <w:t>The address for service of all notices and processes on the Respondents is as shown in the cause title above.</w:t>
      </w:r>
    </w:p>
    <w:p/>
    <w:p/>
    <w:p>
      <w:pPr>
        <w:jc w:val="center"/>
      </w:pPr>
      <w:r>
        <w:rPr>
          <w:b/>
        </w:rPr>
        <w:t>PRAYER</w:t>
      </w:r>
    </w:p>
    <w:p>
      <w:pPr>
        <w:jc w:val="both"/>
      </w:pPr>
      <w:r>
        <w:rPr>
          <w:b w:val="0"/>
        </w:rPr>
        <w:t>For the reasons stated in the accompanying affidavit, the Petitioner most respectfully prays that this Hon'ble Court may be pleased to issue a Writ of Mandamus, or any other appropriate Writ, Order or Direction of a like nature:</w:t>
      </w:r>
    </w:p>
    <w:p>
      <w:pPr>
        <w:jc w:val="both"/>
      </w:pPr>
      <w:r>
        <w:rPr>
          <w:b w:val="0"/>
        </w:rPr>
        <w:t>(a) directing the Respondents, particularly Respondent Nos. 1 and 2, to forthwith permit / allow Bill of Entry No. 2875354 dated 01.08.2026 (Z-type) filed by the Petitioner for stock transfer of 414.556 kgs of Blister Copper falling under CTH 7402 from the Air Cargo Complex, Chennai to the Petitioner's FTWZ unit at M/s NDR Infrastructure Private Limited, Nandiambakkam Port Road, Chennai, in terms of Section 48 of the Customs Act, 1962 read with Rule 29(2) of the Special Economic Zones Rules, 2006 and the Standard Operating Procedure "Clearance of Blister Copper under CTH 7402" bearing F.No. MEPZ-MSM043(C)/226/2025-SEZ Chennai (e-file No. I/131691/2026), within such time as this Hon'ble Court may fix;</w:t>
      </w:r>
    </w:p>
    <w:p>
      <w:pPr>
        <w:jc w:val="both"/>
      </w:pPr>
      <w:r>
        <w:rPr>
          <w:b w:val="0"/>
        </w:rPr>
        <w:t>(b) declaring the continued detention of the consignment covered by Bill of Entry No. 2875354 dated 01.08.2026 by Respondent No. 1, without the issuance of any written order, seizure memo or communication of reasons, as arbitrary, illegal, without jurisdiction and violative of Articles 14, 19(1)(g) and 300A of the Constitution of India and of Sections 110 and 110A of the Customs Act, 1962;</w:t>
      </w:r>
    </w:p>
    <w:p>
      <w:pPr>
        <w:jc w:val="both"/>
      </w:pPr>
      <w:r>
        <w:rPr>
          <w:b w:val="0"/>
        </w:rPr>
        <w:t>(c) directing Respondent No. 3 to ensure that the consignment covered by Bill of Entry No. 2875354 dated 01.08.2026 is dealt with strictly in accordance with the Standard Operating Procedure "Clearance of Blister Copper under CTH 7402" bearing F.No. MEPZ-MSM043(C)/226/2025-SEZ Chennai (e-file No. I/131691/2026) issued by his office, and to permit the warehousing of the said consignment in the Petitioner's FTWZ unit for the purpose of the 100% examination, drawal of three sets of samples and testing contemplated thereunder;</w:t>
      </w:r>
    </w:p>
    <w:p>
      <w:pPr>
        <w:jc w:val="both"/>
      </w:pPr>
      <w:r>
        <w:rPr>
          <w:b w:val="0"/>
        </w:rPr>
        <w:t>(d) directing Respondent No. 1 to furnish to the Petitioner, within such time as this Hon'ble Court may fix, copies of the panchanama / mahazar, sampling memo, test memo and all contemporaneous records relating to the drawal of samples from the said consignment on 07.08.2026, together with copies of the test reports as and when received;</w:t>
      </w:r>
    </w:p>
    <w:p>
      <w:pPr>
        <w:jc w:val="both"/>
      </w:pPr>
      <w:r>
        <w:rPr>
          <w:b w:val="0"/>
        </w:rPr>
        <w:t>(e) in the alternative and without prejudice to prayers (a) to (d), directing the Respondents to release the said consignment to the Petitioner's Free Trade Warehousing Zone unit provisionally under Section 110A of the Customs Act, 1962, on such terms as to bond, undertaking or security as this Hon'ble Court may deem fit, pending completion of testing in accordance with the said Standard Operating Procedure; and</w:t>
      </w:r>
    </w:p>
    <w:p>
      <w:pPr>
        <w:jc w:val="both"/>
      </w:pPr>
      <w:r>
        <w:rPr>
          <w:b w:val="0"/>
        </w:rPr>
        <w:t>(f) pass such further or other order or orders as this Hon'ble Court may deem fit and proper in the facts and circumstances of the case and thus render justice.</w:t>
      </w:r>
    </w:p>
    <w:p/>
    <w:p/>
    <w:p>
      <w:pPr>
        <w:jc w:val="both"/>
      </w:pPr>
      <w:r>
        <w:rPr>
          <w:b w:val="0"/>
        </w:rPr>
        <w:t>Dated at Chennai on this the ____ day of August, 2026.</w:t>
      </w:r>
    </w:p>
    <w:p/>
    <w:p>
      <w:pPr>
        <w:jc w:val="both"/>
      </w:pPr>
      <w:r>
        <w:rPr>
          <w:b w:val="0"/>
        </w:rPr>
        <w:t xml:space="preserve">                                                                      Counsel for the Petitioner</w:t>
      </w:r>
    </w:p>
    <w:p/>
    <w:p>
      <w:r>
        <w:br w:type="page"/>
      </w:r>
    </w:p>
    <w:p>
      <w:pPr>
        <w:jc w:val="center"/>
      </w:pPr>
      <w:r>
        <w:rPr>
          <w:b/>
        </w:rPr>
        <w:t>IN THE HIGH COURT OF JUDICATURE AT MADRAS</w:t>
      </w:r>
    </w:p>
    <w:p>
      <w:pPr>
        <w:jc w:val="center"/>
      </w:pPr>
      <w:r>
        <w:rPr>
          <w:b w:val="0"/>
        </w:rPr>
        <w:t>(SPECIAL ORIGINAL JURISDICTION)</w:t>
      </w:r>
    </w:p>
    <w:p>
      <w:pPr>
        <w:jc w:val="center"/>
      </w:pPr>
      <w:r>
        <w:rPr>
          <w:b/>
        </w:rPr>
        <w:t>W.P. No. ________ of 2026</w:t>
      </w:r>
    </w:p>
    <w:p/>
    <w:p>
      <w:pPr>
        <w:jc w:val="both"/>
      </w:pPr>
      <w:r>
        <w:rPr>
          <w:b w:val="0"/>
        </w:rPr>
        <w:t>Aaapurti Renewable Energy India Private Limited,</w:t>
      </w:r>
    </w:p>
    <w:p>
      <w:pPr>
        <w:jc w:val="both"/>
      </w:pPr>
      <w:r>
        <w:rPr>
          <w:b w:val="0"/>
        </w:rPr>
        <w:t>rep. by its Authorised Signatory                                        ... Petitioner</w:t>
      </w:r>
    </w:p>
    <w:p>
      <w:pPr>
        <w:jc w:val="center"/>
      </w:pPr>
      <w:r>
        <w:rPr>
          <w:b w:val="0"/>
        </w:rPr>
        <w:t>Versus</w:t>
      </w:r>
    </w:p>
    <w:p>
      <w:pPr>
        <w:jc w:val="both"/>
      </w:pPr>
      <w:r>
        <w:rPr>
          <w:b w:val="0"/>
        </w:rPr>
        <w:t>The Additional Commissioner of Customs, SIIB, Air Cargo Complex, Chennai and others                                  ... Respondents</w:t>
      </w:r>
    </w:p>
    <w:p/>
    <w:p>
      <w:pPr>
        <w:jc w:val="center"/>
      </w:pPr>
      <w:r>
        <w:rPr>
          <w:b/>
        </w:rPr>
        <w:t>AFFIDAVIT FILED IN SUPPORT OF THE WRIT PETITION</w:t>
      </w:r>
    </w:p>
    <w:p/>
    <w:p>
      <w:pPr>
        <w:jc w:val="both"/>
      </w:pPr>
      <w:r>
        <w:rPr>
          <w:b w:val="0"/>
        </w:rPr>
        <w:t>I, ____________________, aged about ____ years, son/daughter of ____________________, presently residing at ____________________, do hereby solemnly affirm and sincerely state as follows:</w:t>
      </w:r>
    </w:p>
    <w:p/>
    <w:p>
      <w:pPr>
        <w:ind w:left="576" w:hanging="576"/>
        <w:jc w:val="both"/>
      </w:pPr>
      <w:r>
        <w:rPr>
          <w:b w:val="0"/>
        </w:rPr>
        <w:t>1.  I am the Authorised Signatory of the Petitioner Company and am duly authorised by a Board Resolution dated __________ to swear to this affidavit and to institute the present Writ Petition. I am conversant with the facts of the case as borne out from the records of the Petitioner Company maintained in the ordinary course of business.</w:t>
      </w:r>
    </w:p>
    <w:p>
      <w:pPr>
        <w:ind w:left="576" w:hanging="576"/>
        <w:jc w:val="both"/>
      </w:pPr>
      <w:r>
        <w:rPr>
          <w:b w:val="0"/>
        </w:rPr>
        <w:t>2.  The Petitioner is a Micro, Small and Medium Enterprise engaged, inter alia, in the business of warehousing and providing value addition services in respect of imported metals. The Petitioner is a unit holder in the Free Trade and Warehousing Zone (FTWZ) operated by M/s NDR Infrastructure Private Limited at Survey Nos. 161 and 162, Nandiambakkam Port Road, Chennai, Tiruvallur District, which Zone falls within the administrative jurisdiction of the Development Commissioner, MEPZ Special Economic Zone, Chennai, and is governed by the Special Economic Zones Act, 2005 read with the Special Economic Zones Rules, 2006 and the Customs Act, 1962.</w:t>
      </w:r>
    </w:p>
    <w:p>
      <w:pPr>
        <w:ind w:left="576" w:hanging="576"/>
        <w:jc w:val="both"/>
      </w:pPr>
      <w:r>
        <w:rPr>
          <w:b w:val="0"/>
        </w:rPr>
        <w:t>3.  The primary activity carried on by the Petitioner since the year 2025 is the storage of Blister Copper falling under Chapter Heading 7402 of the Customs Tariff on behalf of its clients. For that purpose, the Petitioner, in the ordinary course of its business, files a Z-type Bill of Entry attracting Section 48 of the Customs Act, 1962 read with Rule 29(2) of the SEZ Rules, 2006. Under the said Rule, the unit files a Bill of Entry for home consumption in quintuplicate, bearing a special stamped endorsement "Special Economic Zone Cargo", along with the Bill of Lading / Airway Bill, invoice and packing list, before the Authorised Officer, who registers it, assigns a running annual serial number and assesses the Bill of Entry on the basis of transaction value, and such assessment does not require any counter-signature of the Specified Officer.</w:t>
      </w:r>
    </w:p>
    <w:p>
      <w:pPr>
        <w:ind w:left="576" w:hanging="576"/>
        <w:jc w:val="both"/>
      </w:pPr>
      <w:r>
        <w:rPr>
          <w:b w:val="0"/>
        </w:rPr>
        <w:t>4.  Under Rule 2(c) of the SEZ Rules, 2006, "Authorised Officer" means an Inspector or Preventive Officer or Appraiser or Superintendent of Customs posted in the Special Economic Zone and authorised by the Specified Officer to discharge any of his functions under the said Rules. The assessment of a Z-type Bill of Entry by the Authorised Officer is therefore a statutory act of a competent proper officer.</w:t>
      </w:r>
    </w:p>
    <w:p>
      <w:pPr>
        <w:ind w:left="576" w:hanging="576"/>
        <w:jc w:val="both"/>
      </w:pPr>
      <w:r>
        <w:rPr>
          <w:b w:val="0"/>
        </w:rPr>
        <w:t>5.  Since November 2025, the following consignments of the very same commodity have been handled through the Petitioner's FTWZ unit in the normal course, and each of them was allowed and warehoused without any objection whatsoever: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after="0"/>
              <w:jc w:val="center"/>
            </w:pPr>
            <w:r>
              <w:rPr>
                <w:sz w:val="20"/>
              </w:rPr>
            </w:r>
            <w:r>
              <w:rPr>
                <w:b/>
                <w:sz w:val="20"/>
              </w:rPr>
              <w:t>S. No.</w:t>
            </w:r>
          </w:p>
        </w:tc>
        <w:tc>
          <w:tcPr>
            <w:tcW w:type="dxa" w:w="1728"/>
          </w:tcPr>
          <w:p>
            <w:pPr>
              <w:spacing w:line="240" w:lineRule="auto" w:after="0"/>
              <w:jc w:val="center"/>
            </w:pPr>
            <w:r>
              <w:rPr>
                <w:sz w:val="20"/>
              </w:rPr>
            </w:r>
            <w:r>
              <w:rPr>
                <w:b/>
                <w:sz w:val="20"/>
              </w:rPr>
              <w:t>Bill of Entry No.</w:t>
            </w:r>
          </w:p>
        </w:tc>
        <w:tc>
          <w:tcPr>
            <w:tcW w:type="dxa" w:w="1728"/>
          </w:tcPr>
          <w:p>
            <w:pPr>
              <w:spacing w:line="240" w:lineRule="auto" w:after="0"/>
              <w:jc w:val="center"/>
            </w:pPr>
            <w:r>
              <w:rPr>
                <w:sz w:val="20"/>
              </w:rPr>
            </w:r>
            <w:r>
              <w:rPr>
                <w:b/>
                <w:sz w:val="20"/>
              </w:rPr>
              <w:t>Date</w:t>
            </w:r>
          </w:p>
        </w:tc>
        <w:tc>
          <w:tcPr>
            <w:tcW w:type="dxa" w:w="1728"/>
          </w:tcPr>
          <w:p>
            <w:pPr>
              <w:spacing w:line="240" w:lineRule="auto" w:after="0"/>
              <w:jc w:val="center"/>
            </w:pPr>
            <w:r>
              <w:rPr>
                <w:sz w:val="20"/>
              </w:rPr>
            </w:r>
            <w:r>
              <w:rPr>
                <w:b/>
                <w:sz w:val="20"/>
              </w:rPr>
              <w:t>Quantity (kg)</w:t>
            </w:r>
          </w:p>
        </w:tc>
        <w:tc>
          <w:tcPr>
            <w:tcW w:type="dxa" w:w="1728"/>
          </w:tcPr>
          <w:p>
            <w:pPr>
              <w:spacing w:line="240" w:lineRule="auto" w:after="0"/>
              <w:jc w:val="center"/>
            </w:pPr>
            <w:r>
              <w:rPr>
                <w:sz w:val="20"/>
              </w:rPr>
            </w:r>
            <w:r>
              <w:rPr>
                <w:b/>
                <w:sz w:val="20"/>
              </w:rPr>
              <w:t>Value (Rs.)</w:t>
            </w:r>
          </w:p>
        </w:tc>
      </w:tr>
      <w:tr>
        <w:tc>
          <w:tcPr>
            <w:tcW w:type="dxa" w:w="1728"/>
          </w:tcPr>
          <w:p>
            <w:pPr>
              <w:spacing w:line="240" w:lineRule="auto" w:after="0"/>
            </w:pPr>
            <w:r>
              <w:rPr>
                <w:sz w:val="20"/>
              </w:rPr>
              <w:t>1</w:t>
            </w:r>
          </w:p>
        </w:tc>
        <w:tc>
          <w:tcPr>
            <w:tcW w:type="dxa" w:w="1728"/>
          </w:tcPr>
          <w:p>
            <w:pPr>
              <w:spacing w:line="240" w:lineRule="auto" w:after="0"/>
            </w:pPr>
            <w:r>
              <w:rPr>
                <w:sz w:val="20"/>
              </w:rPr>
              <w:t>5917422</w:t>
            </w:r>
          </w:p>
        </w:tc>
        <w:tc>
          <w:tcPr>
            <w:tcW w:type="dxa" w:w="1728"/>
          </w:tcPr>
          <w:p>
            <w:pPr>
              <w:spacing w:line="240" w:lineRule="auto" w:after="0"/>
            </w:pPr>
            <w:r>
              <w:rPr>
                <w:sz w:val="20"/>
              </w:rPr>
              <w:t>25.11.2025</w:t>
            </w:r>
          </w:p>
        </w:tc>
        <w:tc>
          <w:tcPr>
            <w:tcW w:type="dxa" w:w="1728"/>
          </w:tcPr>
          <w:p>
            <w:pPr>
              <w:spacing w:line="240" w:lineRule="auto" w:after="0"/>
            </w:pPr>
            <w:r>
              <w:rPr>
                <w:sz w:val="20"/>
              </w:rPr>
              <w:t>10.154</w:t>
            </w:r>
          </w:p>
        </w:tc>
        <w:tc>
          <w:tcPr>
            <w:tcW w:type="dxa" w:w="1728"/>
          </w:tcPr>
          <w:p>
            <w:pPr>
              <w:spacing w:line="240" w:lineRule="auto" w:after="0"/>
            </w:pPr>
            <w:r>
              <w:rPr>
                <w:sz w:val="20"/>
              </w:rPr>
              <w:t>16,110.00</w:t>
            </w:r>
          </w:p>
        </w:tc>
      </w:tr>
      <w:tr>
        <w:tc>
          <w:tcPr>
            <w:tcW w:type="dxa" w:w="1728"/>
          </w:tcPr>
          <w:p>
            <w:pPr>
              <w:spacing w:line="240" w:lineRule="auto" w:after="0"/>
            </w:pPr>
            <w:r>
              <w:rPr>
                <w:sz w:val="20"/>
              </w:rPr>
              <w:t>2</w:t>
            </w:r>
          </w:p>
        </w:tc>
        <w:tc>
          <w:tcPr>
            <w:tcW w:type="dxa" w:w="1728"/>
          </w:tcPr>
          <w:p>
            <w:pPr>
              <w:spacing w:line="240" w:lineRule="auto" w:after="0"/>
            </w:pPr>
            <w:r>
              <w:rPr>
                <w:sz w:val="20"/>
              </w:rPr>
              <w:t>6496054</w:t>
            </w:r>
          </w:p>
        </w:tc>
        <w:tc>
          <w:tcPr>
            <w:tcW w:type="dxa" w:w="1728"/>
          </w:tcPr>
          <w:p>
            <w:pPr>
              <w:spacing w:line="240" w:lineRule="auto" w:after="0"/>
            </w:pPr>
            <w:r>
              <w:rPr>
                <w:sz w:val="20"/>
              </w:rPr>
              <w:t>24.12.2025</w:t>
            </w:r>
          </w:p>
        </w:tc>
        <w:tc>
          <w:tcPr>
            <w:tcW w:type="dxa" w:w="1728"/>
          </w:tcPr>
          <w:p>
            <w:pPr>
              <w:spacing w:line="240" w:lineRule="auto" w:after="0"/>
            </w:pPr>
            <w:r>
              <w:rPr>
                <w:sz w:val="20"/>
              </w:rPr>
              <w:t>69.032</w:t>
            </w:r>
          </w:p>
        </w:tc>
        <w:tc>
          <w:tcPr>
            <w:tcW w:type="dxa" w:w="1728"/>
          </w:tcPr>
          <w:p>
            <w:pPr>
              <w:spacing w:line="240" w:lineRule="auto" w:after="0"/>
            </w:pPr>
            <w:r>
              <w:rPr>
                <w:sz w:val="20"/>
              </w:rPr>
              <w:t>1,11,104.00</w:t>
            </w:r>
          </w:p>
        </w:tc>
      </w:tr>
      <w:tr>
        <w:tc>
          <w:tcPr>
            <w:tcW w:type="dxa" w:w="1728"/>
          </w:tcPr>
          <w:p>
            <w:pPr>
              <w:spacing w:line="240" w:lineRule="auto" w:after="0"/>
            </w:pPr>
            <w:r>
              <w:rPr>
                <w:sz w:val="20"/>
              </w:rPr>
              <w:t>3</w:t>
            </w:r>
          </w:p>
        </w:tc>
        <w:tc>
          <w:tcPr>
            <w:tcW w:type="dxa" w:w="1728"/>
          </w:tcPr>
          <w:p>
            <w:pPr>
              <w:spacing w:line="240" w:lineRule="auto" w:after="0"/>
            </w:pPr>
            <w:r>
              <w:rPr>
                <w:sz w:val="20"/>
              </w:rPr>
              <w:t>6558975</w:t>
            </w:r>
          </w:p>
        </w:tc>
        <w:tc>
          <w:tcPr>
            <w:tcW w:type="dxa" w:w="1728"/>
          </w:tcPr>
          <w:p>
            <w:pPr>
              <w:spacing w:line="240" w:lineRule="auto" w:after="0"/>
            </w:pPr>
            <w:r>
              <w:rPr>
                <w:sz w:val="20"/>
              </w:rPr>
              <w:t>27.12.2025</w:t>
            </w:r>
          </w:p>
        </w:tc>
        <w:tc>
          <w:tcPr>
            <w:tcW w:type="dxa" w:w="1728"/>
          </w:tcPr>
          <w:p>
            <w:pPr>
              <w:spacing w:line="240" w:lineRule="auto" w:after="0"/>
            </w:pPr>
            <w:r>
              <w:rPr>
                <w:sz w:val="20"/>
              </w:rPr>
              <w:t>101.032</w:t>
            </w:r>
          </w:p>
        </w:tc>
        <w:tc>
          <w:tcPr>
            <w:tcW w:type="dxa" w:w="1728"/>
          </w:tcPr>
          <w:p>
            <w:pPr>
              <w:spacing w:line="240" w:lineRule="auto" w:after="0"/>
            </w:pPr>
            <w:r>
              <w:rPr>
                <w:sz w:val="20"/>
              </w:rPr>
              <w:t>1,61,874.00</w:t>
            </w:r>
          </w:p>
        </w:tc>
      </w:tr>
      <w:tr>
        <w:tc>
          <w:tcPr>
            <w:tcW w:type="dxa" w:w="1728"/>
          </w:tcPr>
          <w:p>
            <w:pPr>
              <w:spacing w:line="240" w:lineRule="auto" w:after="0"/>
            </w:pPr>
            <w:r>
              <w:rPr>
                <w:sz w:val="20"/>
              </w:rPr>
              <w:t>4</w:t>
            </w:r>
          </w:p>
        </w:tc>
        <w:tc>
          <w:tcPr>
            <w:tcW w:type="dxa" w:w="1728"/>
          </w:tcPr>
          <w:p>
            <w:pPr>
              <w:spacing w:line="240" w:lineRule="auto" w:after="0"/>
            </w:pPr>
            <w:r>
              <w:rPr>
                <w:sz w:val="20"/>
              </w:rPr>
              <w:t>6836417</w:t>
            </w:r>
          </w:p>
        </w:tc>
        <w:tc>
          <w:tcPr>
            <w:tcW w:type="dxa" w:w="1728"/>
          </w:tcPr>
          <w:p>
            <w:pPr>
              <w:spacing w:line="240" w:lineRule="auto" w:after="0"/>
            </w:pPr>
            <w:r>
              <w:rPr>
                <w:sz w:val="20"/>
              </w:rPr>
              <w:t>12.01.2026</w:t>
            </w:r>
          </w:p>
        </w:tc>
        <w:tc>
          <w:tcPr>
            <w:tcW w:type="dxa" w:w="1728"/>
          </w:tcPr>
          <w:p>
            <w:pPr>
              <w:spacing w:line="240" w:lineRule="auto" w:after="0"/>
            </w:pPr>
            <w:r>
              <w:rPr>
                <w:sz w:val="20"/>
              </w:rPr>
              <w:t>101.115</w:t>
            </w:r>
          </w:p>
        </w:tc>
        <w:tc>
          <w:tcPr>
            <w:tcW w:type="dxa" w:w="1728"/>
          </w:tcPr>
          <w:p>
            <w:pPr>
              <w:spacing w:line="240" w:lineRule="auto" w:after="0"/>
            </w:pPr>
            <w:r>
              <w:rPr>
                <w:sz w:val="20"/>
              </w:rPr>
              <w:t>1,64,348.00</w:t>
            </w:r>
          </w:p>
        </w:tc>
      </w:tr>
      <w:tr>
        <w:tc>
          <w:tcPr>
            <w:tcW w:type="dxa" w:w="1728"/>
          </w:tcPr>
          <w:p>
            <w:pPr>
              <w:spacing w:line="240" w:lineRule="auto" w:after="0"/>
            </w:pPr>
            <w:r>
              <w:rPr>
                <w:sz w:val="20"/>
              </w:rPr>
              <w:t>5</w:t>
            </w:r>
          </w:p>
        </w:tc>
        <w:tc>
          <w:tcPr>
            <w:tcW w:type="dxa" w:w="1728"/>
          </w:tcPr>
          <w:p>
            <w:pPr>
              <w:spacing w:line="240" w:lineRule="auto" w:after="0"/>
            </w:pPr>
            <w:r>
              <w:rPr>
                <w:sz w:val="20"/>
              </w:rPr>
              <w:t>6836416</w:t>
            </w:r>
          </w:p>
        </w:tc>
        <w:tc>
          <w:tcPr>
            <w:tcW w:type="dxa" w:w="1728"/>
          </w:tcPr>
          <w:p>
            <w:pPr>
              <w:spacing w:line="240" w:lineRule="auto" w:after="0"/>
            </w:pPr>
            <w:r>
              <w:rPr>
                <w:sz w:val="20"/>
              </w:rPr>
              <w:t>12.01.2026</w:t>
            </w:r>
          </w:p>
        </w:tc>
        <w:tc>
          <w:tcPr>
            <w:tcW w:type="dxa" w:w="1728"/>
          </w:tcPr>
          <w:p>
            <w:pPr>
              <w:spacing w:line="240" w:lineRule="auto" w:after="0"/>
            </w:pPr>
            <w:r>
              <w:rPr>
                <w:sz w:val="20"/>
              </w:rPr>
              <w:t>10.180</w:t>
            </w:r>
          </w:p>
        </w:tc>
        <w:tc>
          <w:tcPr>
            <w:tcW w:type="dxa" w:w="1728"/>
          </w:tcPr>
          <w:p>
            <w:pPr>
              <w:spacing w:line="240" w:lineRule="auto" w:after="0"/>
            </w:pPr>
            <w:r>
              <w:rPr>
                <w:sz w:val="20"/>
              </w:rPr>
              <w:t>16,525.60</w:t>
            </w:r>
          </w:p>
        </w:tc>
      </w:tr>
      <w:tr>
        <w:tc>
          <w:tcPr>
            <w:tcW w:type="dxa" w:w="1728"/>
          </w:tcPr>
          <w:p>
            <w:pPr>
              <w:spacing w:line="240" w:lineRule="auto" w:after="0"/>
            </w:pPr>
            <w:r>
              <w:rPr>
                <w:sz w:val="20"/>
              </w:rPr>
              <w:t>6</w:t>
            </w:r>
          </w:p>
        </w:tc>
        <w:tc>
          <w:tcPr>
            <w:tcW w:type="dxa" w:w="1728"/>
          </w:tcPr>
          <w:p>
            <w:pPr>
              <w:spacing w:line="240" w:lineRule="auto" w:after="0"/>
            </w:pPr>
            <w:r>
              <w:rPr>
                <w:sz w:val="20"/>
              </w:rPr>
              <w:t>6879260</w:t>
            </w:r>
          </w:p>
        </w:tc>
        <w:tc>
          <w:tcPr>
            <w:tcW w:type="dxa" w:w="1728"/>
          </w:tcPr>
          <w:p>
            <w:pPr>
              <w:spacing w:line="240" w:lineRule="auto" w:after="0"/>
            </w:pPr>
            <w:r>
              <w:rPr>
                <w:sz w:val="20"/>
              </w:rPr>
              <w:t>14.01.2026</w:t>
            </w:r>
          </w:p>
        </w:tc>
        <w:tc>
          <w:tcPr>
            <w:tcW w:type="dxa" w:w="1728"/>
          </w:tcPr>
          <w:p>
            <w:pPr>
              <w:spacing w:line="240" w:lineRule="auto" w:after="0"/>
            </w:pPr>
            <w:r>
              <w:rPr>
                <w:sz w:val="20"/>
              </w:rPr>
              <w:t>1.988</w:t>
            </w:r>
          </w:p>
        </w:tc>
        <w:tc>
          <w:tcPr>
            <w:tcW w:type="dxa" w:w="1728"/>
          </w:tcPr>
          <w:p>
            <w:pPr>
              <w:spacing w:line="240" w:lineRule="auto" w:after="0"/>
            </w:pPr>
            <w:r>
              <w:rPr>
                <w:sz w:val="20"/>
              </w:rPr>
              <w:t>4,03,179.24</w:t>
            </w:r>
          </w:p>
        </w:tc>
      </w:tr>
      <w:tr>
        <w:tc>
          <w:tcPr>
            <w:tcW w:type="dxa" w:w="1728"/>
          </w:tcPr>
          <w:p>
            <w:pPr>
              <w:spacing w:line="240" w:lineRule="auto" w:after="0"/>
            </w:pPr>
            <w:r>
              <w:rPr>
                <w:sz w:val="20"/>
              </w:rPr>
              <w:t>7</w:t>
            </w:r>
          </w:p>
        </w:tc>
        <w:tc>
          <w:tcPr>
            <w:tcW w:type="dxa" w:w="1728"/>
          </w:tcPr>
          <w:p>
            <w:pPr>
              <w:spacing w:line="240" w:lineRule="auto" w:after="0"/>
            </w:pPr>
            <w:r>
              <w:rPr>
                <w:sz w:val="20"/>
              </w:rPr>
              <w:t>7115035</w:t>
            </w:r>
          </w:p>
        </w:tc>
        <w:tc>
          <w:tcPr>
            <w:tcW w:type="dxa" w:w="1728"/>
          </w:tcPr>
          <w:p>
            <w:pPr>
              <w:spacing w:line="240" w:lineRule="auto" w:after="0"/>
            </w:pPr>
            <w:r>
              <w:rPr>
                <w:sz w:val="20"/>
              </w:rPr>
              <w:t>25.01.2026</w:t>
            </w:r>
          </w:p>
        </w:tc>
        <w:tc>
          <w:tcPr>
            <w:tcW w:type="dxa" w:w="1728"/>
          </w:tcPr>
          <w:p>
            <w:pPr>
              <w:spacing w:line="240" w:lineRule="auto" w:after="0"/>
            </w:pPr>
            <w:r>
              <w:rPr>
                <w:sz w:val="20"/>
              </w:rPr>
              <w:t>105.372</w:t>
            </w:r>
          </w:p>
        </w:tc>
        <w:tc>
          <w:tcPr>
            <w:tcW w:type="dxa" w:w="1728"/>
          </w:tcPr>
          <w:p>
            <w:pPr>
              <w:spacing w:line="240" w:lineRule="auto" w:after="0"/>
            </w:pPr>
            <w:r>
              <w:rPr>
                <w:sz w:val="20"/>
              </w:rPr>
              <w:t>22,51,837.44</w:t>
            </w:r>
          </w:p>
        </w:tc>
      </w:tr>
      <w:tr>
        <w:tc>
          <w:tcPr>
            <w:tcW w:type="dxa" w:w="1728"/>
          </w:tcPr>
          <w:p>
            <w:pPr>
              <w:spacing w:line="240" w:lineRule="auto" w:after="0"/>
            </w:pPr>
            <w:r>
              <w:rPr>
                <w:sz w:val="20"/>
              </w:rPr>
              <w:t>8</w:t>
            </w:r>
          </w:p>
        </w:tc>
        <w:tc>
          <w:tcPr>
            <w:tcW w:type="dxa" w:w="1728"/>
          </w:tcPr>
          <w:p>
            <w:pPr>
              <w:spacing w:line="240" w:lineRule="auto" w:after="0"/>
            </w:pPr>
            <w:r>
              <w:rPr>
                <w:sz w:val="20"/>
              </w:rPr>
              <w:t>7173539</w:t>
            </w:r>
          </w:p>
        </w:tc>
        <w:tc>
          <w:tcPr>
            <w:tcW w:type="dxa" w:w="1728"/>
          </w:tcPr>
          <w:p>
            <w:pPr>
              <w:spacing w:line="240" w:lineRule="auto" w:after="0"/>
            </w:pPr>
            <w:r>
              <w:rPr>
                <w:sz w:val="20"/>
              </w:rPr>
              <w:t>29.01.2026</w:t>
            </w:r>
          </w:p>
        </w:tc>
        <w:tc>
          <w:tcPr>
            <w:tcW w:type="dxa" w:w="1728"/>
          </w:tcPr>
          <w:p>
            <w:pPr>
              <w:spacing w:line="240" w:lineRule="auto" w:after="0"/>
            </w:pPr>
            <w:r>
              <w:rPr>
                <w:sz w:val="20"/>
              </w:rPr>
              <w:t>312.870</w:t>
            </w:r>
          </w:p>
        </w:tc>
        <w:tc>
          <w:tcPr>
            <w:tcW w:type="dxa" w:w="1728"/>
          </w:tcPr>
          <w:p>
            <w:pPr>
              <w:spacing w:line="240" w:lineRule="auto" w:after="0"/>
            </w:pPr>
            <w:r>
              <w:rPr>
                <w:sz w:val="20"/>
              </w:rPr>
              <w:t>2,12,40,558.43</w:t>
            </w:r>
          </w:p>
        </w:tc>
      </w:tr>
      <w:tr>
        <w:tc>
          <w:tcPr>
            <w:tcW w:type="dxa" w:w="1728"/>
          </w:tcPr>
          <w:p>
            <w:pPr>
              <w:spacing w:line="240" w:lineRule="auto" w:after="0"/>
            </w:pPr>
            <w:r>
              <w:rPr>
                <w:sz w:val="20"/>
              </w:rPr>
              <w:t>9</w:t>
            </w:r>
          </w:p>
        </w:tc>
        <w:tc>
          <w:tcPr>
            <w:tcW w:type="dxa" w:w="1728"/>
          </w:tcPr>
          <w:p>
            <w:pPr>
              <w:spacing w:line="240" w:lineRule="auto" w:after="0"/>
            </w:pPr>
            <w:r>
              <w:rPr>
                <w:sz w:val="20"/>
              </w:rPr>
              <w:t>8371333</w:t>
            </w:r>
          </w:p>
        </w:tc>
        <w:tc>
          <w:tcPr>
            <w:tcW w:type="dxa" w:w="1728"/>
          </w:tcPr>
          <w:p>
            <w:pPr>
              <w:spacing w:line="240" w:lineRule="auto" w:after="0"/>
            </w:pPr>
            <w:r>
              <w:rPr>
                <w:sz w:val="20"/>
              </w:rPr>
              <w:t>30.03.2026</w:t>
            </w:r>
          </w:p>
        </w:tc>
        <w:tc>
          <w:tcPr>
            <w:tcW w:type="dxa" w:w="1728"/>
          </w:tcPr>
          <w:p>
            <w:pPr>
              <w:spacing w:line="240" w:lineRule="auto" w:after="0"/>
            </w:pPr>
            <w:r>
              <w:rPr>
                <w:sz w:val="20"/>
              </w:rPr>
              <w:t>101.483</w:t>
            </w:r>
          </w:p>
        </w:tc>
        <w:tc>
          <w:tcPr>
            <w:tcW w:type="dxa" w:w="1728"/>
          </w:tcPr>
          <w:p>
            <w:pPr>
              <w:spacing w:line="240" w:lineRule="auto" w:after="0"/>
            </w:pPr>
            <w:r>
              <w:rPr>
                <w:sz w:val="20"/>
              </w:rPr>
              <w:t>2,08,74,925.44</w:t>
            </w:r>
          </w:p>
        </w:tc>
      </w:tr>
      <w:tr>
        <w:tc>
          <w:tcPr>
            <w:tcW w:type="dxa" w:w="1728"/>
          </w:tcPr>
          <w:p>
            <w:pPr>
              <w:spacing w:line="240" w:lineRule="auto" w:after="0"/>
            </w:pPr>
            <w:r>
              <w:rPr>
                <w:sz w:val="20"/>
              </w:rPr>
              <w:t>10</w:t>
            </w:r>
          </w:p>
        </w:tc>
        <w:tc>
          <w:tcPr>
            <w:tcW w:type="dxa" w:w="1728"/>
          </w:tcPr>
          <w:p>
            <w:pPr>
              <w:spacing w:line="240" w:lineRule="auto" w:after="0"/>
            </w:pPr>
            <w:r>
              <w:rPr>
                <w:sz w:val="20"/>
              </w:rPr>
              <w:t>9008650</w:t>
            </w:r>
          </w:p>
        </w:tc>
        <w:tc>
          <w:tcPr>
            <w:tcW w:type="dxa" w:w="1728"/>
          </w:tcPr>
          <w:p>
            <w:pPr>
              <w:spacing w:line="240" w:lineRule="auto" w:after="0"/>
            </w:pPr>
            <w:r>
              <w:rPr>
                <w:sz w:val="20"/>
              </w:rPr>
              <w:t>01.05.2026</w:t>
            </w:r>
          </w:p>
        </w:tc>
        <w:tc>
          <w:tcPr>
            <w:tcW w:type="dxa" w:w="1728"/>
          </w:tcPr>
          <w:p>
            <w:pPr>
              <w:spacing w:line="240" w:lineRule="auto" w:after="0"/>
            </w:pPr>
            <w:r>
              <w:rPr>
                <w:sz w:val="20"/>
              </w:rPr>
              <w:t>132.137</w:t>
            </w:r>
          </w:p>
        </w:tc>
        <w:tc>
          <w:tcPr>
            <w:tcW w:type="dxa" w:w="1728"/>
          </w:tcPr>
          <w:p>
            <w:pPr>
              <w:spacing w:line="240" w:lineRule="auto" w:after="0"/>
            </w:pPr>
            <w:r>
              <w:rPr>
                <w:sz w:val="20"/>
              </w:rPr>
              <w:t>2,71,51,058.76</w:t>
            </w:r>
          </w:p>
        </w:tc>
      </w:tr>
      <w:tr>
        <w:tc>
          <w:tcPr>
            <w:tcW w:type="dxa" w:w="1728"/>
          </w:tcPr>
          <w:p>
            <w:pPr>
              <w:spacing w:line="240" w:lineRule="auto" w:after="0"/>
            </w:pPr>
            <w:r>
              <w:rPr>
                <w:sz w:val="20"/>
              </w:rPr>
              <w:t>11</w:t>
            </w:r>
          </w:p>
        </w:tc>
        <w:tc>
          <w:tcPr>
            <w:tcW w:type="dxa" w:w="1728"/>
          </w:tcPr>
          <w:p>
            <w:pPr>
              <w:spacing w:line="240" w:lineRule="auto" w:after="0"/>
            </w:pPr>
            <w:r>
              <w:rPr>
                <w:sz w:val="20"/>
              </w:rPr>
              <w:t>9926786</w:t>
            </w:r>
          </w:p>
        </w:tc>
        <w:tc>
          <w:tcPr>
            <w:tcW w:type="dxa" w:w="1728"/>
          </w:tcPr>
          <w:p>
            <w:pPr>
              <w:spacing w:line="240" w:lineRule="auto" w:after="0"/>
            </w:pPr>
            <w:r>
              <w:rPr>
                <w:sz w:val="20"/>
              </w:rPr>
              <w:t>17.06.2026</w:t>
            </w:r>
          </w:p>
        </w:tc>
        <w:tc>
          <w:tcPr>
            <w:tcW w:type="dxa" w:w="1728"/>
          </w:tcPr>
          <w:p>
            <w:pPr>
              <w:spacing w:line="240" w:lineRule="auto" w:after="0"/>
            </w:pPr>
            <w:r>
              <w:rPr>
                <w:sz w:val="20"/>
              </w:rPr>
              <w:t>305.518</w:t>
            </w:r>
          </w:p>
        </w:tc>
        <w:tc>
          <w:tcPr>
            <w:tcW w:type="dxa" w:w="1728"/>
          </w:tcPr>
          <w:p>
            <w:pPr>
              <w:spacing w:line="240" w:lineRule="auto" w:after="0"/>
            </w:pPr>
            <w:r>
              <w:rPr>
                <w:sz w:val="20"/>
              </w:rPr>
              <w:t>6,06,61,838.24</w:t>
            </w:r>
          </w:p>
        </w:tc>
      </w:tr>
      <w:tr>
        <w:tc>
          <w:tcPr>
            <w:tcW w:type="dxa" w:w="1728"/>
          </w:tcPr>
          <w:p>
            <w:pPr>
              <w:spacing w:line="240" w:lineRule="auto" w:after="0"/>
            </w:pPr>
            <w:r>
              <w:rPr>
                <w:sz w:val="20"/>
              </w:rPr>
              <w:t>12</w:t>
            </w:r>
          </w:p>
        </w:tc>
        <w:tc>
          <w:tcPr>
            <w:tcW w:type="dxa" w:w="1728"/>
          </w:tcPr>
          <w:p>
            <w:pPr>
              <w:spacing w:line="240" w:lineRule="auto" w:after="0"/>
            </w:pPr>
            <w:r>
              <w:rPr>
                <w:sz w:val="20"/>
              </w:rPr>
              <w:t>2202151</w:t>
            </w:r>
          </w:p>
        </w:tc>
        <w:tc>
          <w:tcPr>
            <w:tcW w:type="dxa" w:w="1728"/>
          </w:tcPr>
          <w:p>
            <w:pPr>
              <w:spacing w:line="240" w:lineRule="auto" w:after="0"/>
            </w:pPr>
            <w:r>
              <w:rPr>
                <w:sz w:val="20"/>
              </w:rPr>
              <w:t>30.06.2026</w:t>
            </w:r>
          </w:p>
        </w:tc>
        <w:tc>
          <w:tcPr>
            <w:tcW w:type="dxa" w:w="1728"/>
          </w:tcPr>
          <w:p>
            <w:pPr>
              <w:spacing w:line="240" w:lineRule="auto" w:after="0"/>
            </w:pPr>
            <w:r>
              <w:rPr>
                <w:sz w:val="20"/>
              </w:rPr>
              <w:t>465.992</w:t>
            </w:r>
          </w:p>
        </w:tc>
        <w:tc>
          <w:tcPr>
            <w:tcW w:type="dxa" w:w="1728"/>
          </w:tcPr>
          <w:p>
            <w:pPr>
              <w:spacing w:line="240" w:lineRule="auto" w:after="0"/>
            </w:pPr>
            <w:r>
              <w:rPr>
                <w:sz w:val="20"/>
              </w:rPr>
              <w:t>8,92,15,669.66</w:t>
            </w:r>
          </w:p>
        </w:tc>
      </w:tr>
      <w:tr>
        <w:tc>
          <w:tcPr>
            <w:tcW w:type="dxa" w:w="1728"/>
          </w:tcPr>
          <w:p>
            <w:pPr>
              <w:spacing w:line="240" w:lineRule="auto" w:after="0"/>
            </w:pPr>
            <w:r>
              <w:rPr>
                <w:sz w:val="20"/>
              </w:rPr>
              <w:t>13</w:t>
            </w:r>
          </w:p>
        </w:tc>
        <w:tc>
          <w:tcPr>
            <w:tcW w:type="dxa" w:w="1728"/>
          </w:tcPr>
          <w:p>
            <w:pPr>
              <w:spacing w:line="240" w:lineRule="auto" w:after="0"/>
            </w:pPr>
            <w:r>
              <w:rPr>
                <w:sz w:val="20"/>
              </w:rPr>
              <w:t>2321952</w:t>
            </w:r>
          </w:p>
        </w:tc>
        <w:tc>
          <w:tcPr>
            <w:tcW w:type="dxa" w:w="1728"/>
          </w:tcPr>
          <w:p>
            <w:pPr>
              <w:spacing w:line="240" w:lineRule="auto" w:after="0"/>
            </w:pPr>
            <w:r>
              <w:rPr>
                <w:sz w:val="20"/>
              </w:rPr>
              <w:t>05.07.2026</w:t>
            </w:r>
          </w:p>
        </w:tc>
        <w:tc>
          <w:tcPr>
            <w:tcW w:type="dxa" w:w="1728"/>
          </w:tcPr>
          <w:p>
            <w:pPr>
              <w:spacing w:line="240" w:lineRule="auto" w:after="0"/>
            </w:pPr>
            <w:r>
              <w:rPr>
                <w:sz w:val="20"/>
              </w:rPr>
              <w:t>342.181</w:t>
            </w:r>
          </w:p>
        </w:tc>
        <w:tc>
          <w:tcPr>
            <w:tcW w:type="dxa" w:w="1728"/>
          </w:tcPr>
          <w:p>
            <w:pPr>
              <w:spacing w:line="240" w:lineRule="auto" w:after="0"/>
            </w:pPr>
            <w:r>
              <w:rPr>
                <w:sz w:val="20"/>
              </w:rPr>
              <w:t>6,50,06,626.94</w:t>
            </w:r>
          </w:p>
        </w:tc>
      </w:tr>
      <w:tr>
        <w:tc>
          <w:tcPr>
            <w:tcW w:type="dxa" w:w="1728"/>
          </w:tcPr>
          <w:p>
            <w:pPr>
              <w:spacing w:line="240" w:lineRule="auto" w:after="0"/>
            </w:pPr>
            <w:r>
              <w:rPr>
                <w:sz w:val="20"/>
              </w:rPr>
              <w:t>14</w:t>
            </w:r>
          </w:p>
        </w:tc>
        <w:tc>
          <w:tcPr>
            <w:tcW w:type="dxa" w:w="1728"/>
          </w:tcPr>
          <w:p>
            <w:pPr>
              <w:spacing w:line="240" w:lineRule="auto" w:after="0"/>
            </w:pPr>
            <w:r>
              <w:rPr>
                <w:sz w:val="20"/>
              </w:rPr>
              <w:t>2461736</w:t>
            </w:r>
          </w:p>
        </w:tc>
        <w:tc>
          <w:tcPr>
            <w:tcW w:type="dxa" w:w="1728"/>
          </w:tcPr>
          <w:p>
            <w:pPr>
              <w:spacing w:line="240" w:lineRule="auto" w:after="0"/>
            </w:pPr>
            <w:r>
              <w:rPr>
                <w:sz w:val="20"/>
              </w:rPr>
              <w:t>12.07.2026</w:t>
            </w:r>
          </w:p>
        </w:tc>
        <w:tc>
          <w:tcPr>
            <w:tcW w:type="dxa" w:w="1728"/>
          </w:tcPr>
          <w:p>
            <w:pPr>
              <w:spacing w:line="240" w:lineRule="auto" w:after="0"/>
            </w:pPr>
            <w:r>
              <w:rPr>
                <w:sz w:val="20"/>
              </w:rPr>
              <w:t>330.834</w:t>
            </w:r>
          </w:p>
        </w:tc>
        <w:tc>
          <w:tcPr>
            <w:tcW w:type="dxa" w:w="1728"/>
          </w:tcPr>
          <w:p>
            <w:pPr>
              <w:spacing w:line="240" w:lineRule="auto" w:after="0"/>
            </w:pPr>
            <w:r>
              <w:rPr>
                <w:sz w:val="20"/>
              </w:rPr>
              <w:t>6,64,83,317.94</w:t>
            </w:r>
          </w:p>
        </w:tc>
      </w:tr>
      <w:tr>
        <w:tc>
          <w:tcPr>
            <w:tcW w:type="dxa" w:w="1728"/>
          </w:tcPr>
          <w:p>
            <w:pPr>
              <w:spacing w:line="240" w:lineRule="auto" w:after="0"/>
            </w:pPr>
            <w:r>
              <w:rPr>
                <w:sz w:val="20"/>
              </w:rPr>
              <w:t>15</w:t>
            </w:r>
          </w:p>
        </w:tc>
        <w:tc>
          <w:tcPr>
            <w:tcW w:type="dxa" w:w="1728"/>
          </w:tcPr>
          <w:p>
            <w:pPr>
              <w:spacing w:line="240" w:lineRule="auto" w:after="0"/>
            </w:pPr>
            <w:r>
              <w:rPr>
                <w:sz w:val="20"/>
              </w:rPr>
              <w:t>2609344</w:t>
            </w:r>
          </w:p>
        </w:tc>
        <w:tc>
          <w:tcPr>
            <w:tcW w:type="dxa" w:w="1728"/>
          </w:tcPr>
          <w:p>
            <w:pPr>
              <w:spacing w:line="240" w:lineRule="auto" w:after="0"/>
            </w:pPr>
            <w:r>
              <w:rPr>
                <w:sz w:val="20"/>
              </w:rPr>
              <w:t>19.07.2026</w:t>
            </w:r>
          </w:p>
        </w:tc>
        <w:tc>
          <w:tcPr>
            <w:tcW w:type="dxa" w:w="1728"/>
          </w:tcPr>
          <w:p>
            <w:pPr>
              <w:spacing w:line="240" w:lineRule="auto" w:after="0"/>
            </w:pPr>
            <w:r>
              <w:rPr>
                <w:sz w:val="20"/>
              </w:rPr>
              <w:t>472.130</w:t>
            </w:r>
          </w:p>
        </w:tc>
        <w:tc>
          <w:tcPr>
            <w:tcW w:type="dxa" w:w="1728"/>
          </w:tcPr>
          <w:p>
            <w:pPr>
              <w:spacing w:line="240" w:lineRule="auto" w:after="0"/>
            </w:pPr>
            <w:r>
              <w:rPr>
                <w:sz w:val="20"/>
              </w:rPr>
              <w:t>9,60,84,218.84</w:t>
            </w:r>
          </w:p>
        </w:tc>
      </w:tr>
      <w:tr>
        <w:tc>
          <w:tcPr>
            <w:tcW w:type="dxa" w:w="1728"/>
          </w:tcPr>
          <w:p>
            <w:pPr>
              <w:spacing w:line="240" w:lineRule="auto" w:after="0"/>
            </w:pPr>
            <w:r>
              <w:rPr>
                <w:sz w:val="20"/>
              </w:rPr>
              <w:t>16</w:t>
            </w:r>
          </w:p>
        </w:tc>
        <w:tc>
          <w:tcPr>
            <w:tcW w:type="dxa" w:w="1728"/>
          </w:tcPr>
          <w:p>
            <w:pPr>
              <w:spacing w:line="240" w:lineRule="auto" w:after="0"/>
            </w:pPr>
            <w:r>
              <w:rPr>
                <w:sz w:val="20"/>
              </w:rPr>
              <w:t>2752795</w:t>
            </w:r>
          </w:p>
        </w:tc>
        <w:tc>
          <w:tcPr>
            <w:tcW w:type="dxa" w:w="1728"/>
          </w:tcPr>
          <w:p>
            <w:pPr>
              <w:spacing w:line="240" w:lineRule="auto" w:after="0"/>
            </w:pPr>
            <w:r>
              <w:rPr>
                <w:sz w:val="20"/>
              </w:rPr>
              <w:t>26.07.2026</w:t>
            </w:r>
          </w:p>
        </w:tc>
        <w:tc>
          <w:tcPr>
            <w:tcW w:type="dxa" w:w="1728"/>
          </w:tcPr>
          <w:p>
            <w:pPr>
              <w:spacing w:line="240" w:lineRule="auto" w:after="0"/>
            </w:pPr>
            <w:r>
              <w:rPr>
                <w:sz w:val="20"/>
              </w:rPr>
              <w:t>420.813</w:t>
            </w:r>
          </w:p>
        </w:tc>
        <w:tc>
          <w:tcPr>
            <w:tcW w:type="dxa" w:w="1728"/>
          </w:tcPr>
          <w:p>
            <w:pPr>
              <w:spacing w:line="240" w:lineRule="auto" w:after="0"/>
            </w:pPr>
            <w:r>
              <w:rPr>
                <w:sz w:val="20"/>
              </w:rPr>
              <w:t>8,54,83,964.95</w:t>
            </w:r>
          </w:p>
        </w:tc>
      </w:tr>
      <w:tr>
        <w:tc>
          <w:tcPr>
            <w:tcW w:type="dxa" w:w="1728"/>
          </w:tcPr>
          <w:p>
            <w:pPr>
              <w:spacing w:line="240" w:lineRule="auto" w:after="0"/>
            </w:pPr>
            <w:r>
              <w:rPr>
                <w:sz w:val="20"/>
              </w:rPr>
              <w:t>17</w:t>
            </w:r>
          </w:p>
        </w:tc>
        <w:tc>
          <w:tcPr>
            <w:tcW w:type="dxa" w:w="1728"/>
          </w:tcPr>
          <w:p>
            <w:pPr>
              <w:spacing w:line="240" w:lineRule="auto" w:after="0"/>
            </w:pPr>
            <w:r>
              <w:rPr>
                <w:sz w:val="20"/>
              </w:rPr>
              <w:t>2752867</w:t>
            </w:r>
          </w:p>
        </w:tc>
        <w:tc>
          <w:tcPr>
            <w:tcW w:type="dxa" w:w="1728"/>
          </w:tcPr>
          <w:p>
            <w:pPr>
              <w:spacing w:line="240" w:lineRule="auto" w:after="0"/>
            </w:pPr>
            <w:r>
              <w:rPr>
                <w:sz w:val="20"/>
              </w:rPr>
              <w:t>26.07.2026</w:t>
            </w:r>
          </w:p>
        </w:tc>
        <w:tc>
          <w:tcPr>
            <w:tcW w:type="dxa" w:w="1728"/>
          </w:tcPr>
          <w:p>
            <w:pPr>
              <w:spacing w:line="240" w:lineRule="auto" w:after="0"/>
            </w:pPr>
            <w:r>
              <w:rPr>
                <w:sz w:val="20"/>
              </w:rPr>
              <w:t>404.658</w:t>
            </w:r>
          </w:p>
        </w:tc>
        <w:tc>
          <w:tcPr>
            <w:tcW w:type="dxa" w:w="1728"/>
          </w:tcPr>
          <w:p>
            <w:pPr>
              <w:spacing w:line="240" w:lineRule="auto" w:after="0"/>
            </w:pPr>
            <w:r>
              <w:rPr>
                <w:sz w:val="20"/>
              </w:rPr>
              <w:t>8,15,22,804.46</w:t>
            </w:r>
          </w:p>
        </w:tc>
      </w:tr>
      <w:tr>
        <w:tc>
          <w:tcPr>
            <w:tcW w:type="dxa" w:w="1728"/>
          </w:tcPr>
          <w:p>
            <w:pPr>
              <w:spacing w:line="240" w:lineRule="auto" w:after="0"/>
            </w:pPr>
            <w:r>
              <w:rPr>
                <w:sz w:val="20"/>
              </w:rPr>
              <w:t>18</w:t>
            </w:r>
          </w:p>
        </w:tc>
        <w:tc>
          <w:tcPr>
            <w:tcW w:type="dxa" w:w="1728"/>
          </w:tcPr>
          <w:p>
            <w:pPr>
              <w:spacing w:line="240" w:lineRule="auto" w:after="0"/>
            </w:pPr>
            <w:r>
              <w:rPr>
                <w:sz w:val="20"/>
              </w:rPr>
              <w:t>2875203</w:t>
            </w:r>
          </w:p>
        </w:tc>
        <w:tc>
          <w:tcPr>
            <w:tcW w:type="dxa" w:w="1728"/>
          </w:tcPr>
          <w:p>
            <w:pPr>
              <w:spacing w:line="240" w:lineRule="auto" w:after="0"/>
            </w:pPr>
            <w:r>
              <w:rPr>
                <w:sz w:val="20"/>
              </w:rPr>
              <w:t>01.08.2026</w:t>
            </w:r>
          </w:p>
        </w:tc>
        <w:tc>
          <w:tcPr>
            <w:tcW w:type="dxa" w:w="1728"/>
          </w:tcPr>
          <w:p>
            <w:pPr>
              <w:spacing w:line="240" w:lineRule="auto" w:after="0"/>
            </w:pPr>
            <w:r>
              <w:rPr>
                <w:sz w:val="20"/>
              </w:rPr>
              <w:t>395.276</w:t>
            </w:r>
          </w:p>
        </w:tc>
        <w:tc>
          <w:tcPr>
            <w:tcW w:type="dxa" w:w="1728"/>
          </w:tcPr>
          <w:p>
            <w:pPr>
              <w:spacing w:line="240" w:lineRule="auto" w:after="0"/>
            </w:pPr>
            <w:r>
              <w:rPr>
                <w:sz w:val="20"/>
              </w:rPr>
              <w:t>7,78,55,964.59</w:t>
            </w:r>
          </w:p>
        </w:tc>
      </w:tr>
    </w:tbl>
    <w:p/>
    <w:p>
      <w:pPr>
        <w:ind w:left="576" w:hanging="576"/>
        <w:jc w:val="both"/>
      </w:pPr>
      <w:r>
        <w:rPr>
          <w:b w:val="0"/>
        </w:rPr>
        <w:t>6.  On 01.08.2026, the Petitioner filed Z-type Bill of Entry No. 2875354 dated 01.08.2026 on behalf of its client M/s Gemtec Jewellery FZE, UAE, the said Bill of Entry being one filed under Rule 29 of the SEZ Rules, 2006 read with the Bill of Entry (Electronic Integrated Declaration and Paperless Processing) Regulations, 2018 notified vide Notification No. 36/2018-Customs (N.T.) dated 11.05.2018 (G.S.R. 447(E)), on the Indian Customs Electronic Gateway (ICEGATE), the filing of Bills of Entry by units in non-IT/ITES Special Economic Zones and Free Trade Warehousing Zones having been migrated to ICEGATE with effect from 01.07.2024 by the Ministry of Commerce and Industry, Department of Commerce (SEZ Division), letter No. J.16/3/2007-SEZ Vol-V dated 22.06.2024 and the clarification of even number dated 29.06.2024, under which the 'Z' type Bill of Entry is the document prescribed for import of goods into such a Zone, in respect of a consignment of Blister Copper weighing 414.556 kgs of a declared value of Rs. 8,32,51,039.90, for stock transfer of the said goods from the Air Cargo Complex, Chennai to the Petitioner's FTWZ unit under the Customs warehousing procedure and the SEZ Act, 2005. The proper officer, in terms of Section 48 of the Customs Act, 1962 read with Rule 29(2) of the SEZ Rules, 2006, has already assessed the said Bill of Entry, and a copy of the assessed Bill of Entry was made available to the Petitioner on 01.08.2026. The goods are not cleared for home consumption and no duty arises at this stage.</w:t>
      </w:r>
    </w:p>
    <w:p>
      <w:pPr>
        <w:ind w:left="576" w:hanging="576"/>
        <w:jc w:val="both"/>
      </w:pPr>
      <w:r>
        <w:rPr>
          <w:b w:val="0"/>
        </w:rPr>
        <w:t>7.  The goods in question are Blister Copper of Heading 7402. The small quantity of gold naturally present in Blister Copper accounts for the declared value, and this is fully supported by the test report filed along with the Bill of Entry. The goods are imported for the purpose of further refining.</w:t>
      </w:r>
    </w:p>
    <w:p>
      <w:pPr>
        <w:ind w:left="576" w:hanging="576"/>
        <w:jc w:val="both"/>
      </w:pPr>
      <w:r>
        <w:rPr>
          <w:b w:val="0"/>
        </w:rPr>
        <w:t>8.  The clearance of this very commodity is governed by the Standard Operating Procedure issued by MEPZ Special Economic Zone, Chennai, titled "Standard Operating Procedure (SOP) - Clearance of Blister Copper under CTH 7402" bearing F.No. MEPZ-MSM043(C)/226/2025-SEZ Chennai (e-file No. I/131691/2026), a copy whereof is filed herewith. The said SOP declares its own object to be "to prescribe the procedure for examination, sampling, testing, and clearance of imported Blister Copper classified under Customs Tariff Heading (CTH) 7402", and its scope to extend to "all consignments of Blister Copper imported and declared under CTH 7402 and cleared after warehousing provisions under Z Bill filing and subsequent T Bill clearance" - that is to say, precisely the present consignment. The material stipulations of the SOP are these: (i) by clause 3(a), "the imported goods shall be subjected to 100% examination at the time of warehousing", and by clause 3(b) that examination is to be conducted by "the Authorised Officer (Examination Role)", who is to verify the description, the quantity and packing, the marks and identification particulars of the packages and the physical particulars of the goods; (ii) by clause 4(a), "sampling shall be conducted at the time of warehousing examination"; by clause 4(b), "three (03) sets of representative samples covering all packages/lots shall be drawn in tamper-proof sampling bags/containers"; by clause 4(c), "sampling shall be carried out strictly in accordance with the Sampling Procedure/Standing Instructions issued by Chennai Customs from time to time"; and by clause 4(d), "proper sample identification marks, seal numbers, Bill of Entry details, and package references shall be recorded in the examination report"; (iii) by clause 5, the first set is to be forwarded to CRCL, Chennai for chemical analysis by the "Fire Assay Test (Cupellation Method)" recognised under BIS standard IS 1418 and ISO 11426, the second set is to be forwarded simultaneously to a NABL-accredited metallurgical laboratory having Fire Assay facility, and the third set is "retained by the Authorised Officer under safe custody for future reference, dispute resolution, audit, or adjudication purposes"; (iv) by clause 6(c), "the Out of Charge (OOC) of the Z Bill of Entry may be granted after receipt and verification of the test report from either CRCL, Chennai or NABL-accredited, whichever is received earlier", and by clause 6(d) the T Bill of Entry for clearance into the domestic tariff area is filed thereafter; (v) by clause 7, where the two laboratory reports are contradictory on material parameters, the retained third sample is sent for re-testing to a referral government laboratory, and only thereafter is action "regarding assessment, reassessment, adjudication, or review" contemplated; and (vi) by clause 10, "any deviation from this SOP shall be subject to approval of the competent authority with reasons recorded in writing". The SOP therefore itself provides, in terms, that examination and sampling of Blister Copper under CTH 7402 are to take place at the time of warehousing, at the hands of the Authorised Officer, with records made in the examination report, and that the goods travel into the warehouse first and are tested thereafter. Any doubt as to the metal content of the present consignment is fully answered by the SOP's own mechanism of two parallel Fire Assay tests and a third retained sample, and not one of the Respondents is prejudiced by the goods being permitted to move into the Petitioner's Free Trade Warehousing Zone unit for that very purpose.</w:t>
      </w:r>
    </w:p>
    <w:p>
      <w:pPr>
        <w:ind w:left="576" w:hanging="576"/>
        <w:jc w:val="both"/>
      </w:pPr>
      <w:r>
        <w:rPr>
          <w:b w:val="0"/>
        </w:rPr>
        <w:t>9.  It is further submitted that one of the earlier consignments referred to in paragraph 5 above, namely that covered by Bill of Entry No. 7173539 dated 29.01.2026, was itself examined by Respondent No. 1. On the instructions of the Directorate of Revenue Intelligence, New Delhi, six samples were drawn at the Petitioner's unit on 05.02.2026 under F.No. 1162/NDR FTWZ 25-26 and were tested by the Custom House Laboratory, Chennai vide Lab Nos. 9319 to 9324-MEPZ dated 06.02.2026. The said reports confirmed the goods to be Blister Copper, being predominantly copper with zinc, nickel, iron and naturally occurring gold, and the goods were thereafter released to the Petitioner's unit. The issue now sought to be raised by Respondent No. 1 is therefore no longer res integra even on the Respondents' own records.</w:t>
      </w:r>
    </w:p>
    <w:p>
      <w:pPr>
        <w:ind w:left="576" w:hanging="576"/>
        <w:jc w:val="both"/>
      </w:pPr>
      <w:r>
        <w:rPr>
          <w:b w:val="0"/>
        </w:rPr>
        <w:t>10.  Notwithstanding the aforesaid, and despite the Bill of Entry dated 01.08.2026 having been duly assessed by the competent authority, the officers of Respondent No. 1 have detained the subject consignment without issuing any formal written communication, without any seizure memo and without furnishing any reason whatsoever for such action. The Petitioner has been left entirely in the dark as to the authority under which, and the grounds on which, its goods are being withheld. The consignment continues, as on date, to lie in the custody of the custodian at the Air Cargo Complex, Chennai, and has not been permitted to be moved to the Petitioner's Free Trade Warehousing Zone unit notwithstanding the assessed Bill of Entry, with demurrage, ground rent and custodian charges accruing throughout.</w:t>
      </w:r>
    </w:p>
    <w:p>
      <w:pPr>
        <w:ind w:left="576" w:hanging="576"/>
        <w:jc w:val="both"/>
      </w:pPr>
      <w:r>
        <w:rPr>
          <w:b w:val="0"/>
        </w:rPr>
        <w:t>11.  It is further submitted that the officers of Respondent No. 1 have also drawn samples from the said consignment for testing on 07.08.2026 without furnishing any sampling memo, panchanama / mahazar or other contemporaneous record evidencing the said action, and this despite repeated oral requests made by the Petitioner. The Petitioner has thus been denied even the elementary safeguard of knowing what quantity was drawn, from which package, in whose presence, and to which laboratory the samples have been forwarded.</w:t>
      </w:r>
    </w:p>
    <w:p>
      <w:pPr>
        <w:ind w:left="576" w:hanging="576"/>
        <w:jc w:val="both"/>
      </w:pPr>
      <w:r>
        <w:rPr>
          <w:b w:val="0"/>
        </w:rPr>
        <w:t>12.  It is submitted, by way of disclosure, that officers of the Special Intelligence and Investigation Branch of the Chennai-III (Preventive) Commissionerate have, by a separate and later action taken on 10.08.2026, detained the stock of Blister Copper lying warehoused in the Petitioner's Free Trade Warehousing Zone unit and drawn samples therefrom, in respect of which the Petitioner has filed a separate Writ Petition before this Hon'ble Court. The present Writ Petition is confined to the consignment covered by Bill of Entry No. 2875354 dated 01.08.2026, which continues to lie at the Air Cargo Complex, Chennai, and to the drawal of samples therefrom on 07.08.2026.</w:t>
      </w:r>
    </w:p>
    <w:p>
      <w:pPr>
        <w:ind w:left="576" w:hanging="576"/>
        <w:jc w:val="both"/>
      </w:pPr>
      <w:r>
        <w:rPr>
          <w:b w:val="0"/>
        </w:rPr>
        <w:t>13.  Respondent No. 1 is a necessary and proper party to this Writ Petition, being the authority whose officers have detained the subject consignment without any written order and have drawn samples therefrom on 07.08.2026 without any panchanama, mahazar or sampling memo, and the relief of release is sought directly against it. Respondent No. 2 is a necessary and proper party, being the Commissionerate in whose jurisdiction the consignment continues to lie in the custody of the custodian at the Air Cargo Complex. Respondent No. 3 is likewise a necessary and proper party, being the authority administering the MEPZ Special Economic Zone under the Special Economic Zones Act, 2005, the authority under whose control the Petitioner's FTWZ unit and the Authorised Officer / Specified Officer function, and the very authority which has issued the Standard Operating Procedure bearing F.No. MEPZ-MSM043(C)/226/2025-SEZ Chennai governing the clearance of Blister Copper under CTH 7402. No effective relief can be granted to the Petitioner in the absence of Respondent Nos. 1, 2 and 3.</w:t>
      </w:r>
    </w:p>
    <w:p>
      <w:pPr>
        <w:ind w:left="576" w:hanging="576"/>
        <w:jc w:val="both"/>
      </w:pPr>
      <w:r>
        <w:rPr>
          <w:b w:val="0"/>
        </w:rPr>
        <w:t>14.  The Petitioner, through its letter dated 09.08.2026 addressed to Respondent No. 1, placed the entire facts on record without prejudice and prayed that the Bill of Entry be allowed for stock transfer of the goods to its FTWZ unit in terms of the annexed SOP, subject to such conditions, bond or undertaking as the said office may deem fit. No response has been received to the said representation and the consignment continues to be detained. The Petitioner is left with no efficacious alternative remedy and is therefore constrained to approach this Hon'ble Court under Article 226 of the Constitution of India.</w:t>
      </w:r>
    </w:p>
    <w:p/>
    <w:p>
      <w:pPr>
        <w:jc w:val="center"/>
      </w:pPr>
      <w:r>
        <w:rPr>
          <w:b/>
        </w:rPr>
        <w:t>GROUNDS</w:t>
      </w:r>
    </w:p>
    <w:p>
      <w:pPr>
        <w:jc w:val="both"/>
      </w:pPr>
      <w:r>
        <w:rPr>
          <w:b w:val="0"/>
        </w:rPr>
        <w:t>The Petitioner submits the following grounds, without prejudice to one another:</w:t>
      </w:r>
    </w:p>
    <w:p/>
    <w:p>
      <w:pPr>
        <w:ind w:left="576" w:hanging="576"/>
        <w:jc w:val="both"/>
      </w:pPr>
      <w:r>
        <w:rPr>
          <w:b w:val="0"/>
        </w:rPr>
        <w:t>1.  The detention is without authority of law. The Customs Act, 1962 contains no power of indefinite "detention" of goods de hors Section 110. If the proper officer has reason to believe that the goods are liable to confiscation, he must seize them under Section 110(1) and record and communicate the grounds; where goods cannot be conveniently removed, an order under Section 110(1A)/(1B) or the second proviso must be passed and served. The Respondents have done neither. A detention that is neither a seizure nor supported by any written order is an executive act without statutory sanction and is liable to be struck down. It has been held that there is no provision in the Customs Act, 1962 for the detention of imported goods, and that the Department cannot, under the garb of detention, avoid the consequences that flow from a seizure: Jatinder Kumar Sachdeva v. Union of India, W.P.(C) No. 1492 of 2016, order of the High Court of Delhi dated 08.12.2016 (reported as [2017] 77 taxmann.com 50); Exim Incorporation v. Union of India, W.P. No. 1898 of 2020, judgment of the High Court of Judicature at Bombay dated 09.12.2020, where a Division Bench held the very first illegality to be that the authorities had detained the goods without effecting a seizure; and M/s. Om Udyog v. Union of India, High Court of Punjab and Haryana, order dated 14.05.2010.</w:t>
      </w:r>
    </w:p>
    <w:p>
      <w:pPr>
        <w:ind w:left="576" w:hanging="576"/>
        <w:jc w:val="both"/>
      </w:pPr>
      <w:r>
        <w:rPr>
          <w:b w:val="0"/>
        </w:rPr>
        <w:t>2.  The detention is, in substance, a seizure without the safeguards of a seizure. By withholding the goods indefinitely, the Respondents have achieved every practical consequence of a seizure under Section 110 while denying the Petitioner the statutory protections that attend a seizure, namely the recording and communication of the grounds of belief, the issue of a show cause notice within six months under Section 110(2), and the right to seek provisional release under Section 110A. The Department cannot take the benefit of a coercive power while avoiding the discipline that the statute attaches to it. That the safeguards of Section 110 cannot be circumvented by describing the act as a detention is settled: Union of India v. Jatin Ahuja, Civil Appeal No. 3489 of 2024, judgment of the Hon'ble Supreme Court dated 11.09.2025, holding that the only power to extend time is that under the first proviso to Section 110(2) and that goods must be returned where no notice is issued within the prescribed period; and M/s. S.J. Fabrics Pvt. Ltd. v. Union of India, judgment of the High Court at Calcutta dated 19.04.2011, in a case where the Department neither issued a show cause notice nor passed an order of seizure under Section 110 while continuing to hold the consignment.</w:t>
      </w:r>
    </w:p>
    <w:p>
      <w:pPr>
        <w:ind w:left="576" w:hanging="576"/>
        <w:jc w:val="both"/>
      </w:pPr>
      <w:r>
        <w:rPr>
          <w:b w:val="0"/>
        </w:rPr>
        <w:t>3.  Sampling without a panchanama / mahazar is bad in law. Drawal of samples in the absence of the person from whose custody the goods are taken, without a mahazar, without a sampling / test memo, and without supply of a copy thereof, offends Sections 100 to 105 read with Section 110 of the Customs Act, 1962 and the settled principles of natural justice. Samples so drawn are of no evidentiary value and cannot form the basis of any adverse action. Circular No. 30/2017-Cus in terms requires that at the time of drawing samples the importer or his representative shall be present and shall certify that the samples drawn are representative, and that the results of all test reports, adverse or otherwise, shall be communicated immediately on receipt; the importer's right to a re-test on these terms has been recognised and enforced.</w:t>
      </w:r>
    </w:p>
    <w:p>
      <w:pPr>
        <w:ind w:left="576" w:hanging="576"/>
        <w:jc w:val="both"/>
      </w:pPr>
      <w:r>
        <w:rPr>
          <w:b w:val="0"/>
        </w:rPr>
        <w:t>4.  Non-communication of reasons is fatal. Reasons are the link between the material and the conclusion. An administrative action affecting valuable civil and property rights must disclose reasons, and reasons cannot be supplied ex post facto by way of a counter-affidavit.</w:t>
      </w:r>
    </w:p>
    <w:p>
      <w:pPr>
        <w:ind w:left="576" w:hanging="576"/>
        <w:jc w:val="both"/>
      </w:pPr>
      <w:r>
        <w:rPr>
          <w:b w:val="0"/>
        </w:rPr>
        <w:t>5.  An assessed Z-type Bill of Entry cannot be undone by an officer of Respondent No. 1, who has no power or jurisdiction to do so. The 'Z' type Bill of Entry is not a creature of executive discretion: it is the document prescribed by Rule 29 of the SEZ Rules, 2006 for the import of goods into a Special Economic Zone, filed electronically under the Bill of Entry (Electronic Integrated Declaration and Paperless Processing) Regulations, 2018 (Notification No. 36/2018-Customs (N.T.) dated 11.05.2018, G.S.R. 447(E)), regulation 4 whereof provides that the Bill of Entry shall be deemed to have been filed and self-assessment completed upon entry of the electronic integrated declaration on the Customs Automated System, such filing being made on ICEGATE pursuant to the migration of all non-IT/ITES Special Economic Zones and Free Trade Warehousing Zones from the SEZ-Online system to ICEGATE with effect from 01.07.2024 vide letter No. J.16/3/2007-SEZ Vol-V dated 22.06.2024 of the Ministry of Commerce and Industry, Department of Commerce (SEZ Division), read with the clarification of even number dated 29.06.2024. The Bill of Entry was assessed by the Authorised Officer under Rule 29(2) of the SEZ Rules, 2006, which assessment does not even require the counter-signature of the Specified Officer; and under Rule 29(2) the registered or assessed Bill of Entry, endorsed by the Authorised Officer, is itself the permission for the transfer of the goods to the Special Economic Zone. Under Rules 27(10) and 75 of the said Rules, goods are assessed and allowed inward and outward movement on the basis of the self-declaration of the Unit, and after the insertion of Rule 47(5) by G.S.R. 772(E) dated 08.08.2016 the functions of assessment, re-assessment and adjudication in relation to a Unit are those of the jurisdictional Customs authority in the manner prescribed. The Customs Act, 1962 confers the power to alter an assessment only upon the proper officer within the meaning of Section 2(34), and only in the manner prescribed by Section 17(4) and (5) (re-assessment, with a speaking order) or Section 18 (provisional assessment); the power to withhold goods on a reason to believe that they are liable to confiscation is conferred only upon the officer acting under Section 110. Respondent No. 1 is an intelligence and investigation wing. It is not the assessing authority in respect of a Z-type Bill of Entry, it did not assess this Bill of Entry, and it is invested with no power whatsoever to cancel, suspend, review, re-open or nullify an assessment already made by the Authorised Officer, nor to render the resulting statutory permission inoperative. Neither Section 17(4)/(5) nor Section 18 nor Section 110 has been invoked. What Respondent No. 1 has done, therefore, is to set at naught a subsisting statutory permission granted by another statutory authority by an act for which the statute furnishes no source of power at all. An assessment made under a statute can be displaced only in the manner and by the authority which that statute prescribes, and an officer who is given no such power cannot acquire it by simply refusing to let the goods move. It is significant that neither Rule 29 of the SEZ Rules, 2006, nor the Regulations of 2018, nor the said letters dated 22.06.2024 and 29.06.2024, nor any notification or instruction governing the filing and processing of a 'Z' type Bill of Entry, contains any provision enabling any officer to withhold, suspend or keep in abeyance a Bill of Entry that has already been assessed, or to prevent the movement of the goods thereunder.</w:t>
      </w:r>
    </w:p>
    <w:p>
      <w:pPr>
        <w:ind w:left="576" w:hanging="576"/>
        <w:jc w:val="both"/>
      </w:pPr>
      <w:r>
        <w:rPr>
          <w:b w:val="0"/>
        </w:rPr>
        <w:t>6.  The impugned action reverses the very sequence which the Central Board of Indirect Taxes and Customs itself prescribes for a Z-type Bill of Entry, and assumes a power which the Board's own system does not contain. The procedure for a consignment imported from a foreign territory into a Special Economic Zone unit is set out by the Directorate General of Systems and Data Management, Central Board of Indirect Taxes and Customs, in its advisory titled "Process of customs clearance of Imported goods from foreign country to SEZ unit in ICES", and in the "User Manual - SEZ Web Forms (ICEGATE)" issued by the Central Board of Indirect Taxes and Customs dated 26.06.2023 (Version 1.01), copies whereof are filed herewith. The said advisory states that "for imported goods, complete process in ICES would be as follows: Filing of IGM (by shipping line) - Filing of bill of entry (by importer) - Assessment of bill of entry (by officer through APR &amp; ACL roles) - Transhipment permission at gateway port/airport - Registration of goods at SEZ (by officer through AAI role) - Examination/inspection of goods (by officer through INS role) - Out of charge (by officer through SUP role)". The examination and inspection of the goods therefore comes, on the Board's own document, only after the goods have been moved to the Zone and registered there, and is a function assigned to the officer holding the INS role, precisely as clause 3(a) and clause 4(a) of the said Standard Operating Procedure require examination and sampling to be carried out at the time of warehousing and by the Authorised Officer. The said advisory further records that "the bill of entry format is similar to a warehouse bill of entry filed at a customs port"; that a 'Z' type Bill of Entry "can be filed at any SEZ location against a line of the IGM irrespective of the port of destination declared in the IGM", the illustration given in the advisory itself being of a Bill of Entry filed at INMAA6 for a unit located at MEPZ Special Economic Zone; that transhipment permission for moving the cargo to the Zone from the gateway port or airport "can be generated only when there is sufficient balance available in the bond submitted by the SEZ unit", an amount equal to the duty value being debited at the time of approval of the transhipment, so that the revenue stands secured upon the Unit's bond before the goods move at all; that where no foreign exchange is involved at the time of import, "where foreign supplier is keeping his goods in the SEZ unit", a dummy authorised dealer code 'NFEI' has been created for the filing, which is the very arrangement of the Petitioner and its client; that "assessment and examination of bill of entry would depend upon RMS risk treatment of bill of entry"; that such a Bill of Entry "would not be sent to PGA (Partner Government Agency) for NOC", the requirements of the Partner Government Agencies applying only at the stage of clearance to the domestic tariff area on a 'T' type Bill of Entry; and that the Indian Customs EDI System "is maintaining a ledger of all Z type of bills of entry", the balance quantity being required to exist in that ledger before any clearance can be effected, so that the goods can neither be diverted nor cleared without account. Most materially, the said advisory expressly records that "there is no first check option available for 'Z' type Bill of entry". A first check is the very procedure by which goods are examined and tested before assessment; it is not available at all for a Bill of Entry of this description. The drawal of samples at the Air Cargo Complex on 07.08.2026, before transhipment of the goods and before their registration at the Zone, was in substance a first check by another name, for which there is neither statutory nor administrative sanction. Each act upon such a Bill of Entry is thus allotted by the Customs Automated System to a designated role, namely the APR and ACL roles for assessment, the AAI role for registration of the goods at the Zone, the INS role for examination and the SUP role for out of charge, and the officers of Respondent No. 1 hold none of them. An assessment made in the system by the officer in the assessing role, upon a Bill of Entry from which the duty forgone has already been debited to the Unit's registered bond, cannot be rendered inoperative by an officer outside that scheme who has neither passed any order under Section 17(4) or Section 17(5) or Section 18 of the Customs Act, 1962 nor effected any seizure under Section 110 thereof.</w:t>
      </w:r>
    </w:p>
    <w:p>
      <w:pPr>
        <w:ind w:left="576" w:hanging="576"/>
        <w:jc w:val="both"/>
      </w:pPr>
      <w:r>
        <w:rPr>
          <w:b w:val="0"/>
        </w:rPr>
        <w:t>7.  The action is in breach of binding instructions of the Central Board of Indirect Taxes and Customs. Circular No. 84/95-Cus directs that long detentions of imported cargo are to be avoided by all Customs authorities "including Intelligence and enforcement authorities", and that where detention is unavoidable the cargo be moved to a warehouse under Section 49. Circular No. 01/2011-Cus dated 04.01.2011, in paragraph 4, records that where goods are detained for the purpose of tests "the endeavour should be to quickly undertake the necessary action (test / enquiry etc.) ... so that the period of detention is kept to the minimum". Circular No. 30/2013-Cus reiterates that instruction and requires continued detention beyond three days to be brought to the notice of the Commissioner of Customs. Circular No. 30/2017-Cus, issued to give effect to Articles 5.3.1 and 5.3.3 of the WTO Trade Facilitation Agreement, mandates that the results of all test reports, adverse or otherwise, be communicated to the importer immediately on receipt, confers a right of re-test, and requires that where fresh samples are drawn "such sampling should be done in the presence of the importer or his representative". Circular No. 43/2017-Cus requires the standard sampling technique prescribed by the concerned laboratory to be followed. Each of these instructions has been breached. Departmental circulars are binding upon the Revenue and the Respondents cannot act in defiance of them.</w:t>
      </w:r>
    </w:p>
    <w:p>
      <w:pPr>
        <w:ind w:left="576" w:hanging="576"/>
        <w:jc w:val="both"/>
      </w:pPr>
      <w:r>
        <w:rPr>
          <w:b w:val="0"/>
        </w:rPr>
        <w:t>8.  The action is in the teeth of the departmental Standard Operating Procedure, which the Respondents are bound to follow, and constitutes an unauthorised deviation from it. The SOP bearing F.No. MEPZ-MSM043(C)/226/2025-SEZ Chennai (e-file No. I/131691/2026) prescribes a complete and self-contained procedure for Blister Copper of CTH 7402 imported on a Z Bill of Entry, and every step of what was done on and after 07.08.2026 departs from it. First, the SOP fixes the occasion for examination and sampling: clause 3(a) requires "100% examination at the time of warehousing" and clause 4(a) requires that "sampling shall be conducted at the time of warehousing examination". Samples were instead drawn at the Air Cargo Complex before the goods were warehoused at all. Secondly, the SOP fixes the officer: clause 3(b) entrusts the examination to "the Authorised Officer (Examination Role)" and clause 5(c) requires the third set to be retained by the Authorised Officer. The samples were drawn by officers of Respondent No. 1, who is not the Authorised Officer under the SEZ Rules, 2006 and to whom the SOP assigns no role whatsoever. Thirdly, the SOP fixes the manner and the record: clause 4(b) requires three sets of representative samples covering all packages or lots in tamper-proof bags or containers; clause 4(c) requires sampling "strictly in accordance with the Sampling Procedure/Standing Instructions issued by Chennai Customs"; and clause 4(d) requires the sample identification marks, seal numbers, Bill of Entry details and package references to be "recorded in the examination report". The Petitioner has been given no examination report, no sampling memo, no seal numbers and no indication of the number of sets drawn or of the laboratory to which any set has been sent. Fourthly, the SOP fixes the sequence: warehousing first, testing thereafter, Out of Charge of the Z Bill of Entry on whichever of the two reports comes first (clause 6(c)), and recourse to the retained third sample if the reports conflict (clause 7). The Respondents have inverted that sequence by holding the goods at the Air Cargo Complex indefinitely. Fifthly, and decisively, clause 10 of the SOP provides that "any deviation from this SOP shall be subject to approval of the competent authority with reasons recorded in writing". No such approval, and no such recorded reasons, have been shown or even claimed to exist. A departmental instruction of this kind binds the officers of the Department, who cannot substitute for it a procedure of their own invention; and where the instruction itself permits departure only upon written reasons approved by the competent authority, an undocumented departure is, without more, arbitrary and unsustainable.</w:t>
      </w:r>
    </w:p>
    <w:p>
      <w:pPr>
        <w:ind w:left="576" w:hanging="576"/>
        <w:jc w:val="both"/>
      </w:pPr>
      <w:r>
        <w:rPr>
          <w:b w:val="0"/>
        </w:rPr>
        <w:t>9.  The statutory scheme of the SEZ Act places the goods beyond the reach of the impugned action. By Section 53(1) of the SEZ Act, 2005, a Special Economic Zone is deemed to be territory outside the customs territory of India for the purposes of undertaking authorised operations, and by Section 51 the SEZ Act has overriding effect over anything inconsistent contained in any other law. The goods in question are covered by a Z-type Bill of Entry filed for warehousing in a Free Trade Warehousing Zone unit and are moving into that Zone under the warehousing procedure and not into the domestic tariff area. It is for that very reason that, in Morgan Tectronics Ltd. v. Commissioner of Customs, New Delhi, the Customs authority having jurisdiction over the Special Economic Zone, and not the Air Cargo Customs Commissionerate, was held to be the authority competent to deal with cargo destined for a unit in the Zone. No question of duty, of assessment for home consumption, or of clearance into the domestic tariff area arises at this stage at all, and the interest of the Revenue is in any event fully protected by the third set of samples retained under the SOP and by the bond furnished by the Unit.</w:t>
      </w:r>
    </w:p>
    <w:p>
      <w:pPr>
        <w:ind w:left="576" w:hanging="576"/>
        <w:jc w:val="both"/>
      </w:pPr>
      <w:r>
        <w:rPr>
          <w:b w:val="0"/>
        </w:rPr>
        <w:t>10.  The Department's own laboratory has already answered the very question now sought to be reopened. The Custom House Laboratory, Chennai, in Lab Nos. 9319 to 9324-MEPZ dated 06.02.2026, on samples drawn by Respondent No. 1 itself at the instance of the DRI, certified the goods to be Blister Copper containing naturally occurring gold, and the goods were released. Reopening the identical issue on the identical commodity, without any new material, amounts to harassment.</w:t>
      </w:r>
    </w:p>
    <w:p>
      <w:pPr>
        <w:ind w:left="576" w:hanging="576"/>
        <w:jc w:val="both"/>
      </w:pPr>
      <w:r>
        <w:rPr>
          <w:b w:val="0"/>
        </w:rPr>
        <w:t>11.  The action violates Article 300A. The Petitioner (and its client) are being deprived of possession and enjoyment of property of a declared value of Rs. 8,32,51,039.90 otherwise than by authority of law.</w:t>
      </w:r>
    </w:p>
    <w:p>
      <w:pPr>
        <w:ind w:left="576" w:hanging="576"/>
        <w:jc w:val="both"/>
      </w:pPr>
      <w:r>
        <w:rPr>
          <w:b w:val="0"/>
        </w:rPr>
        <w:t>12.  The action is arbitrary and violative of Article 14. The Respondents have permitted eighteen identical consignments of the same commodity, filed by the same unit on the same type of Bill of Entry, to be warehoused without objection between 25.11.2025 and 01.08.2026, including a consignment on the very same day (BoE No. 2875203 dated 01.08.2026). Singling out the present consignment for detention, without any change in facts, law or classification, and without disclosing any reason, is discriminatory and arbitrary.</w:t>
      </w:r>
    </w:p>
    <w:p>
      <w:pPr>
        <w:ind w:left="576" w:hanging="576"/>
        <w:jc w:val="both"/>
      </w:pPr>
      <w:r>
        <w:rPr>
          <w:b w:val="0"/>
        </w:rPr>
        <w:t>13.  Past contemporaneous clearances of the identical goods entitle the Petitioner to release, and the course adopted by this Hon'ble Court in a case arising out of the self-same Free Trade Warehousing Zone at Nandiyambakkam is directly in point. In M/s. Hi Rexine v. The Deputy Director, DRI (Headquarters) and others, W.P. No. 15944 of 2025 (order dated 02.06.2025), the petitioner had imported 'PVC Coated Fabric' on Bill of Entry No. 7882362 dated 20.01.2025 and the goods had been moved to a Special Economic Zone unit; the petitioner had approached the authorities for clearance of those goods from the Zone and was told that the Directorate of Revenue Intelligence had initiated an investigation and that "only after obtaining the test report, a decision would be taken for release of the goods", the goods being thereafter detained by panchanama dated 25.01.2025. When the matter came before this Hon'ble Court, the Revenue objected that the representation then on record "is not for provisional release of the imported goods as per the provisions of Section 110A of the Customs Act, 1962, but, it is for the final assessment"; and this Hon'ble Court, without expressing any opinion on the merits, directed the petitioner to "submit a fresh representation to the respondents seeking for provisional release" within one week and directed the respondents to "pass final orders on merits and in accordance with law" thereon, after giving due consideration to Navshakti Industries Pvt. Ltd. v. Commissioner of Customs, Delhi, 2011 (267) E.L.T. 483 (Del.), affirmed by the Hon'ble Supreme Court in 2011 (269) E.L.T. (A-146) (SC), and to Regulation 2 of the Customs (Provisional Duty Assessment) Regulations, 2011, within four weeks thereafter. What began, therefore, as a request for clearance of warehoused goods into the domestic tariff area was carried forward by this Hon'ble Court as an application for provisional release under Section 110A of the Customs Act, 1962. Thereafter, in M/s. Hi Rexine v. The Additional Commissioner of Customs (SEZ-FTWZ), Preventive Commissionerate, No. 60 Rajaji Salai, Custom House, Chennai, W.P. No. 28694 of 2025 (order dated 23.09.2025), when the provisional release order made in compliance with the earlier direction demanded a bank guarantee of Rs. 10,00,000 together with a bond equal to the re-determined value of Rs. 35,00,000, this Hon'ble Court held that the only question was "whether the conditions imposed by the respondent in the impugned provisional release order require the interference of this Court", applied the yardstick laid down in W.P. No. 32472 of 2025 (order dated 18.09.2025) - which in turn followed Green Line v. Commissioner of Customs, Chennai-IV, 2016 (340) E.L.T. 140 (Mad.), affirmed in W.A. No. 1243 of 2016 dated 25.10.2016, and the Division Bench in Commissioner of Customs v. Sri Venkateshwara Paper Boards, 2022 (379) E.L.T. 310 (Mad.), where it was held that a direction to furnish a bank guarantee towards redemption fine and penalty "would be harsh as the show-cause notice is yet to be adjudicated" - and modified the conditions by directing the petitioner to remit the entire duty as declared, to pay fifty per cent of the differential duty on the value arrived at by the Department, and to execute bonds, including a bond in place of the bank guarantee, the goods to "be released by the respondent within a period of seven days from the date of compliance of the conditions". It is respectfully submitted that the Petitioner's case stands on a distinctly stronger footing: there is no seizure memo, no grounds of belief and no re-determination of value at all; there are eighteen prior clearances of the identical commodity; and the Department's own laboratory has reported upon it. Further, in Principal Commissioner of Customs-III (SIIB), Custom House, Chennai v. M/s. B.V. Leathers, order dated 19.09.2017, a Division Bench of this Hon'ble Court, dealing with this very formation, sustained an order of provisional release and relied upon paragraph 4 of Circular No. 01/2011-Cus. In M/s. Nova Enterprises v. The Additional Commissioner of Customs (SEZ-FTWZ), Preventive Commissionerate, W.P. No. 29074 of 2025 (order dated 23.09.2025), this Hon'ble Court dealt with goods moved to a Special Economic Zone unit on the same footing and on like terms. In M/s. A.R. Fabrics Private Limited v. The Principal Commissioner of Customs, W.P. No. 26414 of 2025, which arose out of a seizure memo in respect of goods within the jurisdiction of the Preventive Commissionerate at MEPZ Special Economic Zone, this Hon'ble Court permitted the goods to be dealt with on conditions notwithstanding a pending investigation, the interest of the Revenue being adequately protected. Where, as here, no order of seizure has been made at all, no lesser relief can be justified.</w:t>
      </w:r>
    </w:p>
    <w:p>
      <w:pPr>
        <w:ind w:left="576" w:hanging="576"/>
        <w:jc w:val="both"/>
      </w:pPr>
      <w:r>
        <w:rPr>
          <w:b w:val="0"/>
        </w:rPr>
        <w:t>14.  The samples have been drawn twice over, by two different formations, and neither drawal is supported by any record. Samples were drawn from the consignment at the Air Cargo Complex on 07.08.2026 by officers of Respondent No. 1, and samples were separately drawn from the Petitioner's second consignment lying in its Free Trade Warehousing Zone unit on 10.08.2026 by officers of the Special Intelligence and Investigation Branch of the Chennai-III (Preventive) Commissionerate, in respect of which a separate Writ Petition is being filed. The Standard Operating Procedure contemplates a single drawal, at the time of the warehousing examination, by the Authorised Officer, in three representative sets in tamper-proof bags or containers, with the sample identification marks, seal numbers, Bill of Entry details and package references recorded in the examination report, one set going to CRCL, one to a NABL-accredited laboratory and the third being retained by the Authorised Officer for dispute resolution, audit or adjudication. Two separate departmental drawals, made by officers to whom the SOP assigns no role, without a memo, without a receipt under Section 144 of the Customs Act, 1962, without any seal or package record and without the Petitioner being told what was drawn or where it was sent, leave no ascertainable chain of custody and destroy the evidentiary value of whatever may be reported upon them. A reasonable belief for the purposes of Section 110 cannot be founded upon material gathered in that manner, and the Petitioner is entitled to have the record of both drawals produced before any consequence is visited upon it.</w:t>
      </w:r>
    </w:p>
    <w:p>
      <w:pPr>
        <w:ind w:left="576" w:hanging="576"/>
        <w:jc w:val="both"/>
      </w:pPr>
      <w:r>
        <w:rPr>
          <w:b w:val="0"/>
        </w:rPr>
        <w:t>15.  Balance of convenience and irreparable injury. The Petitioner is an MSME handling the goods of a foreign client. Continued detention attracts demurrage, ground rent and custodian charges, exposes the Petitioner to claims from its client, and damages its commercial reputation, whereas no prejudice whatsoever is caused to the Revenue by permitting stock transfer into a bonded FTWZ unit under Customs control, where the goods remain fully available for examination, testing and, if warranted, seizure.</w:t>
      </w:r>
    </w:p>
    <w:p>
      <w:pPr>
        <w:ind w:left="576" w:hanging="576"/>
        <w:jc w:val="both"/>
      </w:pPr>
      <w:r>
        <w:rPr>
          <w:b w:val="0"/>
        </w:rPr>
        <w:t>16.  No efficacious alternative remedy exists. There is no appealable order. There is nothing in writing to appeal against, which is precisely the vice complained of, and the Petitioner cannot be left remediless merely because the Respondents have chosen not to reduce their action to writing.</w:t>
      </w:r>
    </w:p>
    <w:p/>
    <w:p/>
    <w:p>
      <w:pPr>
        <w:jc w:val="both"/>
      </w:pPr>
      <w:r>
        <w:rPr>
          <w:b w:val="0"/>
        </w:rPr>
        <w:t>It is therefore most respectfully prayed that this Hon'ble Court may be pleased to grant the reliefs prayed for in the Memorandum of Writ Petition and thus render justice.</w:t>
      </w:r>
    </w:p>
    <w:p/>
    <w:p>
      <w:pPr>
        <w:jc w:val="both"/>
      </w:pPr>
      <w:r>
        <w:rPr>
          <w:b w:val="0"/>
        </w:rPr>
        <w:t>Solemnly affirmed at Chennai                                    Before me,</w:t>
      </w:r>
    </w:p>
    <w:p>
      <w:pPr>
        <w:jc w:val="both"/>
      </w:pPr>
      <w:r>
        <w:rPr>
          <w:b w:val="0"/>
        </w:rPr>
        <w:t>on this the ____ day of August, 2026</w:t>
      </w:r>
    </w:p>
    <w:p>
      <w:pPr>
        <w:jc w:val="both"/>
      </w:pPr>
      <w:r>
        <w:rPr>
          <w:b w:val="0"/>
        </w:rPr>
        <w:t>and signed his/her name in my presence.</w:t>
      </w:r>
    </w:p>
    <w:p/>
    <w:p>
      <w:pPr>
        <w:jc w:val="both"/>
      </w:pPr>
      <w:r>
        <w:rPr>
          <w:b w:val="0"/>
        </w:rPr>
        <w:t xml:space="preserve">                                                                Advocate, Chennai</w:t>
      </w:r>
    </w:p>
    <w:p>
      <w:pPr>
        <w:jc w:val="both"/>
      </w:pPr>
      <w:r>
        <w:rPr>
          <w:b w:val="0"/>
        </w:rPr>
        <w:t xml:space="preserve">            DEPONENT</w:t>
      </w:r>
    </w:p>
    <w:p>
      <w:r>
        <w:br w:type="page"/>
      </w:r>
    </w:p>
    <w:p>
      <w:pPr>
        <w:jc w:val="center"/>
      </w:pPr>
      <w:r>
        <w:rPr>
          <w:b/>
        </w:rPr>
        <w:t>IN THE HIGH COURT OF JUDICATURE AT MADRAS</w:t>
      </w:r>
    </w:p>
    <w:p>
      <w:pPr>
        <w:jc w:val="center"/>
      </w:pPr>
      <w:r>
        <w:rPr>
          <w:b w:val="0"/>
        </w:rPr>
        <w:t>(SPECIAL ORIGINAL JURISDICTION)</w:t>
      </w:r>
    </w:p>
    <w:p>
      <w:pPr>
        <w:jc w:val="center"/>
      </w:pPr>
      <w:r>
        <w:rPr>
          <w:b/>
        </w:rPr>
        <w:t>W.M.P. No. ________ of 2026</w:t>
      </w:r>
    </w:p>
    <w:p>
      <w:pPr>
        <w:jc w:val="center"/>
      </w:pPr>
      <w:r>
        <w:rPr>
          <w:b/>
        </w:rPr>
        <w:t>in</w:t>
      </w:r>
    </w:p>
    <w:p>
      <w:pPr>
        <w:jc w:val="center"/>
      </w:pPr>
      <w:r>
        <w:rPr>
          <w:b/>
        </w:rPr>
        <w:t>W.P. No. ________ of 2026</w:t>
      </w:r>
    </w:p>
    <w:p/>
    <w:p>
      <w:pPr>
        <w:jc w:val="both"/>
      </w:pPr>
      <w:r>
        <w:rPr>
          <w:b w:val="0"/>
        </w:rPr>
        <w:t>Aaapurti Renewable Energy India Private Limited,</w:t>
      </w:r>
    </w:p>
    <w:p>
      <w:pPr>
        <w:jc w:val="both"/>
      </w:pPr>
      <w:r>
        <w:rPr>
          <w:b w:val="0"/>
        </w:rPr>
        <w:t>rep. by its Authorised Signatory                                        ... Petitioner</w:t>
      </w:r>
    </w:p>
    <w:p>
      <w:pPr>
        <w:jc w:val="center"/>
      </w:pPr>
      <w:r>
        <w:rPr>
          <w:b w:val="0"/>
        </w:rPr>
        <w:t>Versus</w:t>
      </w:r>
    </w:p>
    <w:p>
      <w:pPr>
        <w:jc w:val="both"/>
      </w:pPr>
      <w:r>
        <w:rPr>
          <w:b w:val="0"/>
        </w:rPr>
        <w:t>The Additional Commissioner of Customs, SIIB, Air Cargo Complex, Chennai and others                                  ... Respondents</w:t>
      </w:r>
    </w:p>
    <w:p/>
    <w:p>
      <w:pPr>
        <w:jc w:val="center"/>
      </w:pPr>
      <w:r>
        <w:rPr>
          <w:b/>
        </w:rPr>
        <w:t>APPLICATION FOR INTERIM DIRECTION</w:t>
      </w:r>
    </w:p>
    <w:p>
      <w:pPr>
        <w:jc w:val="both"/>
      </w:pPr>
      <w:r>
        <w:rPr>
          <w:b w:val="0"/>
        </w:rPr>
        <w:t>For the reasons stated in the accompanying affidavit filed in support of the Writ Petition, which may be read as part and parcel of this application, the Petitioner most respectfully prays that this Hon'ble Court may be pleased to direct Respondent Nos. 1 and 2 to permit the stock transfer of the consignment covered by Bill of Entry No. 2875354 dated 01.08.2026 to the Petitioner's FTWZ unit at M/s NDR Infrastructure Private Limited, Nandiambakkam Port Road, Chennai, pending disposal of the above Writ Petition, on such terms as to bond and undertaking as this Hon'ble Court may deem fit, and thus render justice.</w:t>
      </w:r>
    </w:p>
    <w:p/>
    <w:p>
      <w:pPr>
        <w:jc w:val="both"/>
      </w:pPr>
      <w:r>
        <w:rPr>
          <w:b w:val="0"/>
        </w:rPr>
        <w:t>W.M.P. No. ____ of 2026: for an interim direction to the Respondents to forthwith permit the movement of the goods covered by Bill of Entry No. 2875354 dated 01.08.2026 from the Air Cargo Complex, Chennai to the Petitioner's Free Trade Warehousing Zone unit for warehousing, examination and sampling in accordance with the Standard Operating Procedure, on the Petitioner furnishing a bond and such undertaking as this Hon'ble Court may direct, pending disposal of the Writ Petition.</w:t>
      </w:r>
    </w:p>
    <w:p/>
    <w:p>
      <w:pPr>
        <w:jc w:val="both"/>
      </w:pPr>
      <w:r>
        <w:rPr>
          <w:b w:val="0"/>
        </w:rPr>
        <w:t>W.M.P. No. ____ of 2026: for an interim direction to Respondent No. 1 to furnish to the Petitioner the panchanama / mahazar, sampling memo and test memo in respect of the samples drawn on 07.08.2026 and the test reports as and when received, or to state in writing that no such document exists, pending disposal of the Writ Petition.</w:t>
      </w:r>
    </w:p>
    <w:p/>
    <w:p>
      <w:pPr>
        <w:jc w:val="both"/>
      </w:pPr>
      <w:r>
        <w:rPr>
          <w:b w:val="0"/>
        </w:rPr>
        <w:t>W.M.P. No. ____ of 2026: for a direction to the custodian and to Respondent No. 2 to issue a detention certificate / waive demurrage, ground rent and custodian charges in respect of the period of the detention, pending disposal of the Writ Petition.</w:t>
      </w:r>
    </w:p>
    <w:p/>
    <w:p>
      <w:pPr>
        <w:jc w:val="both"/>
      </w:pPr>
      <w:r>
        <w:rPr>
          <w:b w:val="0"/>
        </w:rPr>
        <w:t xml:space="preserve">                                                                      Counsel for the Petitioner</w:t>
      </w:r>
    </w:p>
    <w:p>
      <w:r>
        <w:br w:type="page"/>
      </w:r>
    </w:p>
    <w:p>
      <w:pPr>
        <w:jc w:val="center"/>
      </w:pPr>
      <w:r>
        <w:rPr>
          <w:b/>
        </w:rPr>
        <w:t>IN THE HIGH COURT OF JUDICATURE AT MADRAS</w:t>
      </w:r>
    </w:p>
    <w:p>
      <w:pPr>
        <w:jc w:val="center"/>
      </w:pPr>
      <w:r>
        <w:rPr>
          <w:b w:val="0"/>
        </w:rPr>
        <w:t>(SPECIAL ORIGINAL JURISDICTION)</w:t>
      </w:r>
    </w:p>
    <w:p>
      <w:pPr>
        <w:jc w:val="center"/>
      </w:pPr>
      <w:r>
        <w:rPr>
          <w:b/>
        </w:rPr>
        <w:t>W.P. No. ________ of 2026</w:t>
      </w:r>
    </w:p>
    <w:p/>
    <w:p>
      <w:pPr>
        <w:jc w:val="both"/>
      </w:pPr>
      <w:r>
        <w:rPr>
          <w:b w:val="0"/>
        </w:rPr>
        <w:t>Aaapurti Renewable Energy India Private Limited                        ... Petitioner</w:t>
      </w:r>
    </w:p>
    <w:p>
      <w:pPr>
        <w:jc w:val="both"/>
      </w:pPr>
      <w:r>
        <w:rPr>
          <w:b w:val="0"/>
        </w:rPr>
        <w:t>Versus</w:t>
      </w:r>
    </w:p>
    <w:p>
      <w:pPr>
        <w:jc w:val="both"/>
      </w:pPr>
      <w:r>
        <w:rPr>
          <w:b w:val="0"/>
        </w:rPr>
        <w:t>The Additional Commissioner of Customs, SIIB, Air Cargo Complex, Chennai and others       ... Respondents</w:t>
      </w:r>
    </w:p>
    <w:p/>
    <w:p>
      <w:pPr>
        <w:jc w:val="center"/>
      </w:pPr>
      <w:r>
        <w:rPr>
          <w:b/>
        </w:rPr>
        <w:t>INDEX</w:t>
      </w:r>
    </w:p>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20"/>
          </w:tcPr>
          <w:p>
            <w:pPr>
              <w:spacing w:line="240" w:lineRule="auto" w:after="0"/>
              <w:jc w:val="center"/>
            </w:pPr>
            <w:r/>
            <w:r>
              <w:rPr>
                <w:b/>
                <w:sz w:val="22"/>
              </w:rPr>
              <w:t>Sl. No.</w:t>
            </w:r>
          </w:p>
        </w:tc>
        <w:tc>
          <w:tcPr>
            <w:tcW w:type="dxa" w:w="1440"/>
          </w:tcPr>
          <w:p>
            <w:pPr>
              <w:spacing w:line="240" w:lineRule="auto" w:after="0"/>
              <w:jc w:val="center"/>
            </w:pPr>
            <w:r/>
            <w:r>
              <w:rPr>
                <w:b/>
                <w:sz w:val="22"/>
              </w:rPr>
              <w:t>Date</w:t>
            </w:r>
          </w:p>
        </w:tc>
        <w:tc>
          <w:tcPr>
            <w:tcW w:type="dxa" w:w="5328"/>
          </w:tcPr>
          <w:p>
            <w:pPr>
              <w:spacing w:line="240" w:lineRule="auto" w:after="0"/>
              <w:jc w:val="center"/>
            </w:pPr>
            <w:r/>
            <w:r>
              <w:rPr>
                <w:b/>
                <w:sz w:val="22"/>
              </w:rPr>
              <w:t>Description of Documents</w:t>
            </w:r>
          </w:p>
        </w:tc>
        <w:tc>
          <w:tcPr>
            <w:tcW w:type="dxa" w:w="1152"/>
          </w:tcPr>
          <w:p>
            <w:pPr>
              <w:spacing w:line="240" w:lineRule="auto" w:after="0"/>
              <w:jc w:val="center"/>
            </w:pPr>
            <w:r/>
            <w:r>
              <w:rPr>
                <w:b/>
                <w:sz w:val="22"/>
              </w:rPr>
              <w:t>Page Nos.</w:t>
            </w:r>
          </w:p>
        </w:tc>
      </w:tr>
      <w:tr>
        <w:tc>
          <w:tcPr>
            <w:tcW w:type="dxa" w:w="720"/>
          </w:tcPr>
          <w:p>
            <w:pPr>
              <w:spacing w:line="240" w:lineRule="auto" w:after="0"/>
              <w:jc w:val="center"/>
            </w:pPr>
            <w:r/>
            <w:r>
              <w:rPr>
                <w:sz w:val="22"/>
              </w:rPr>
              <w:t>1.</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Memorandum of Writ Petition under Article 226 of the Constitution of India, with prayer</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Affidavit filed in support of the Writ Petition, duly sworn</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3.</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W.M.P. Nos. ____ of 2026 - Applications for interim directions, with affidavits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4.</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Certificate of the Advocate that the documents filed are true copies of the originals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5.</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Board Resolution of the Petitioner authorising the deponent to swear the affidavit and to file the Writ Petition</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6.</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Certificate of Incorporation, PAN and Udyam / MSME registration certificate of the Petitioner</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7.</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Importer-Exporter Code (IEC) certificate of the Petitioner</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8.</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Letter of Approval issued by the Development Commissioner, MEPZ SEZ to the Petitioner as a Free Trade Warehousing Zone unit, and renewals, if any</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9.</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Agreement / allotment letter between the Petitioner and M/s NDR Infrastructure Private Limited for space in the FTWZ</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10.</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Agreement and stock transfer documents with M/s Gemtec Jewellery FZE, UAE, and its authorisation / no-objection to the Petitioner litigating in respect of the goods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11.</w:t>
            </w:r>
          </w:p>
        </w:tc>
        <w:tc>
          <w:tcPr>
            <w:tcW w:type="dxa" w:w="1440"/>
          </w:tcPr>
          <w:p>
            <w:pPr>
              <w:spacing w:line="240" w:lineRule="auto" w:after="0"/>
              <w:jc w:val="center"/>
            </w:pPr>
            <w:r/>
            <w:r>
              <w:rPr>
                <w:sz w:val="22"/>
              </w:rPr>
              <w:t>Various</w:t>
            </w:r>
          </w:p>
        </w:tc>
        <w:tc>
          <w:tcPr>
            <w:tcW w:type="dxa" w:w="5328"/>
          </w:tcPr>
          <w:p>
            <w:pPr>
              <w:spacing w:line="240" w:lineRule="auto" w:after="0"/>
              <w:jc w:val="left"/>
            </w:pPr>
            <w:r/>
            <w:r>
              <w:rPr>
                <w:sz w:val="22"/>
              </w:rPr>
              <w:t>Tabular statement of the eighteen earlier Bills of Entry cleared between 25.11.2025 and 01.08.2026, with copies of the assessed Bills of Entry and the Out of Charge endorsements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12.</w:t>
            </w:r>
          </w:p>
        </w:tc>
        <w:tc>
          <w:tcPr>
            <w:tcW w:type="dxa" w:w="1440"/>
          </w:tcPr>
          <w:p>
            <w:pPr>
              <w:spacing w:line="240" w:lineRule="auto" w:after="0"/>
              <w:jc w:val="center"/>
            </w:pPr>
            <w:r/>
            <w:r>
              <w:rPr>
                <w:sz w:val="22"/>
              </w:rPr>
              <w:t>29.01.2026</w:t>
            </w:r>
          </w:p>
        </w:tc>
        <w:tc>
          <w:tcPr>
            <w:tcW w:type="dxa" w:w="5328"/>
          </w:tcPr>
          <w:p>
            <w:pPr>
              <w:spacing w:line="240" w:lineRule="auto" w:after="0"/>
              <w:jc w:val="left"/>
            </w:pPr>
            <w:r/>
            <w:r>
              <w:rPr>
                <w:sz w:val="22"/>
              </w:rPr>
              <w:t>Bill of Entry No. 7173539 (earlier consignment of the identical commodity)</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13.</w:t>
            </w:r>
          </w:p>
        </w:tc>
        <w:tc>
          <w:tcPr>
            <w:tcW w:type="dxa" w:w="1440"/>
          </w:tcPr>
          <w:p>
            <w:pPr>
              <w:spacing w:line="240" w:lineRule="auto" w:after="0"/>
              <w:jc w:val="center"/>
            </w:pPr>
            <w:r/>
            <w:r>
              <w:rPr>
                <w:sz w:val="22"/>
              </w:rPr>
              <w:t>05.02.2026</w:t>
            </w:r>
          </w:p>
        </w:tc>
        <w:tc>
          <w:tcPr>
            <w:tcW w:type="dxa" w:w="5328"/>
          </w:tcPr>
          <w:p>
            <w:pPr>
              <w:spacing w:line="240" w:lineRule="auto" w:after="0"/>
              <w:jc w:val="left"/>
            </w:pPr>
            <w:r/>
            <w:r>
              <w:rPr>
                <w:sz w:val="22"/>
              </w:rPr>
              <w:t>Communication of the Special Intelligence and Investigation Branch in F.No. 1162/NDR FTWZ 25-26 on drawal of six samples, with the mahazar drawn on that occasion</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14.</w:t>
            </w:r>
          </w:p>
        </w:tc>
        <w:tc>
          <w:tcPr>
            <w:tcW w:type="dxa" w:w="1440"/>
          </w:tcPr>
          <w:p>
            <w:pPr>
              <w:spacing w:line="240" w:lineRule="auto" w:after="0"/>
              <w:jc w:val="center"/>
            </w:pPr>
            <w:r/>
            <w:r>
              <w:rPr>
                <w:sz w:val="22"/>
              </w:rPr>
              <w:t>06.02.2026</w:t>
            </w:r>
          </w:p>
        </w:tc>
        <w:tc>
          <w:tcPr>
            <w:tcW w:type="dxa" w:w="5328"/>
          </w:tcPr>
          <w:p>
            <w:pPr>
              <w:spacing w:line="240" w:lineRule="auto" w:after="0"/>
              <w:jc w:val="left"/>
            </w:pPr>
            <w:r/>
            <w:r>
              <w:rPr>
                <w:sz w:val="22"/>
              </w:rPr>
              <w:t>Test Reports of the Custom House Laboratory, Chennai, Lab Nos. 9319 to 9324-MEPZ</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15.</w:t>
            </w:r>
          </w:p>
        </w:tc>
        <w:tc>
          <w:tcPr>
            <w:tcW w:type="dxa" w:w="1440"/>
          </w:tcPr>
          <w:p>
            <w:pPr>
              <w:spacing w:line="240" w:lineRule="auto" w:after="0"/>
              <w:jc w:val="center"/>
            </w:pPr>
            <w:r/>
            <w:r>
              <w:rPr>
                <w:sz w:val="22"/>
              </w:rPr>
              <w:t>25.02.2026</w:t>
            </w:r>
          </w:p>
        </w:tc>
        <w:tc>
          <w:tcPr>
            <w:tcW w:type="dxa" w:w="5328"/>
          </w:tcPr>
          <w:p>
            <w:pPr>
              <w:spacing w:line="240" w:lineRule="auto" w:after="0"/>
              <w:jc w:val="left"/>
            </w:pPr>
            <w:r/>
            <w:r>
              <w:rPr>
                <w:sz w:val="22"/>
              </w:rPr>
              <w:t>Covering letter forwarding the said Test Reports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16.</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Standard Operating Procedure "Clearance of Blister Copper under CTH 7402", F.No. MEPZ-MSM043(C)/226/2025-SEZ Chennai (e-file No. I/131691/2026), clauses 1 to 11</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17.</w:t>
            </w:r>
          </w:p>
        </w:tc>
        <w:tc>
          <w:tcPr>
            <w:tcW w:type="dxa" w:w="1440"/>
          </w:tcPr>
          <w:p>
            <w:pPr>
              <w:spacing w:line="240" w:lineRule="auto" w:after="0"/>
              <w:jc w:val="center"/>
            </w:pPr>
            <w:r/>
            <w:r>
              <w:rPr>
                <w:sz w:val="22"/>
              </w:rPr>
              <w:t>01.08.2026</w:t>
            </w:r>
          </w:p>
        </w:tc>
        <w:tc>
          <w:tcPr>
            <w:tcW w:type="dxa" w:w="5328"/>
          </w:tcPr>
          <w:p>
            <w:pPr>
              <w:spacing w:line="240" w:lineRule="auto" w:after="0"/>
              <w:jc w:val="left"/>
            </w:pPr>
            <w:r/>
            <w:r>
              <w:rPr>
                <w:sz w:val="22"/>
              </w:rPr>
              <w:t>Assessed Z-type Bill of Entry No. 2875354, all pages, with the assessment endorsement</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18.</w:t>
            </w:r>
          </w:p>
        </w:tc>
        <w:tc>
          <w:tcPr>
            <w:tcW w:type="dxa" w:w="1440"/>
          </w:tcPr>
          <w:p>
            <w:pPr>
              <w:spacing w:line="240" w:lineRule="auto" w:after="0"/>
              <w:jc w:val="center"/>
            </w:pPr>
            <w:r/>
            <w:r>
              <w:rPr>
                <w:sz w:val="22"/>
              </w:rPr>
              <w:t>01.08.2026</w:t>
            </w:r>
          </w:p>
        </w:tc>
        <w:tc>
          <w:tcPr>
            <w:tcW w:type="dxa" w:w="5328"/>
          </w:tcPr>
          <w:p>
            <w:pPr>
              <w:spacing w:line="240" w:lineRule="auto" w:after="0"/>
              <w:jc w:val="left"/>
            </w:pPr>
            <w:r/>
            <w:r>
              <w:rPr>
                <w:sz w:val="22"/>
              </w:rPr>
              <w:t>Commercial invoice, packing list, Airway Bill and Certificate of Origin in respect of the said consignment</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19.</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Pre-import assay report of the supplier filed with the said Bill of Entry, showing the composition of the Blister Copper</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20.</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Rule 29 of the Special Economic Zones Rules, 2006; the Bill of Entry (Electronic Integrated Declaration and Paperless Processing) Regulations, 2018 - Notification No. 36/2018-Customs (N.T.), G.S.R. 447(E) dated 11.05.2018; and the Department of Commerce (SEZ Division) letter No. J.16/3/2007-SEZ Vol-V dated 22.06.2024 with the clarification dated 29.06.2024</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21.</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"User Manual - SEZ Web Forms (ICEGATE)", Central Board of Indirect Taxes and Customs, dated 26.06.2023, Version 1.01; and the advisory of the Directorate General of Systems and Data Management, Central Board of Indirect Taxes and Customs, "Process of customs clearance of Imported goods from foreign country to SEZ unit in ICES"</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22.</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Bond and Bank Guarantee / undertaking executed by the Unit with the Specified Officer, MEPZ SEZ</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23.</w:t>
            </w:r>
          </w:p>
        </w:tc>
        <w:tc>
          <w:tcPr>
            <w:tcW w:type="dxa" w:w="1440"/>
          </w:tcPr>
          <w:p>
            <w:pPr>
              <w:spacing w:line="240" w:lineRule="auto" w:after="0"/>
              <w:jc w:val="center"/>
            </w:pPr>
            <w:r/>
            <w:r>
              <w:rPr>
                <w:sz w:val="22"/>
              </w:rPr>
              <w:t>09.08.2026</w:t>
            </w:r>
          </w:p>
        </w:tc>
        <w:tc>
          <w:tcPr>
            <w:tcW w:type="dxa" w:w="5328"/>
          </w:tcPr>
          <w:p>
            <w:pPr>
              <w:spacing w:line="240" w:lineRule="auto" w:after="0"/>
              <w:jc w:val="left"/>
            </w:pPr>
            <w:r/>
            <w:r>
              <w:rPr>
                <w:sz w:val="22"/>
              </w:rPr>
              <w:t>Representation of the Petitioner addressed to the Additional Commissioner of Customs, SIIB, with proof of despatch and acknowledgement of delivery</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24.</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Correspondence, e-mails and written requests made to the Special Intelligence and Investigation Branch seeking the panchanama, mahazar and sampling memo, and the replies, if any</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25.</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Custodian's records showing that the consignment is lying at the Air Cargo Complex and the demurrage and ground rent accrued</w:t>
            </w:r>
          </w:p>
        </w:tc>
        <w:tc>
          <w:tcPr>
            <w:tcW w:type="dxa" w:w="1152"/>
          </w:tcPr>
          <w:p>
            <w:pPr>
              <w:spacing w:line="240" w:lineRule="auto" w:after="0"/>
              <w:jc w:val="center"/>
            </w:pPr>
            <w:r/>
            <w:r>
              <w:rPr>
                <w:sz w:val="22"/>
              </w:rPr>
            </w:r>
          </w:p>
        </w:tc>
      </w:tr>
      <w:tr>
        <w:tc>
          <w:tcPr>
            <w:tcW w:type="dxa" w:w="720"/>
          </w:tcPr>
          <w:p>
            <w:pPr>
              <w:spacing w:line="240" w:lineRule="auto" w:after="0"/>
              <w:jc w:val="center"/>
            </w:pPr>
            <w:r/>
            <w:r>
              <w:rPr>
                <w:sz w:val="22"/>
              </w:rPr>
              <w:t>26.</w:t>
            </w:r>
          </w:p>
        </w:tc>
        <w:tc>
          <w:tcPr>
            <w:tcW w:type="dxa" w:w="1440"/>
          </w:tcPr>
          <w:p>
            <w:pPr>
              <w:spacing w:line="240" w:lineRule="auto" w:after="0"/>
              <w:jc w:val="center"/>
            </w:pPr>
            <w:r/>
            <w:r>
              <w:rPr>
                <w:sz w:val="22"/>
              </w:rPr>
            </w:r>
          </w:p>
        </w:tc>
        <w:tc>
          <w:tcPr>
            <w:tcW w:type="dxa" w:w="5328"/>
          </w:tcPr>
          <w:p>
            <w:pPr>
              <w:spacing w:line="240" w:lineRule="auto" w:after="0"/>
              <w:jc w:val="left"/>
            </w:pPr>
            <w:r/>
            <w:r>
              <w:rPr>
                <w:sz w:val="22"/>
              </w:rPr>
              <w:t>Vakalatnama executed by the Authorised Signatory of the Petitioner in favour of the Advocate, with the seal of the company</w:t>
            </w:r>
          </w:p>
        </w:tc>
        <w:tc>
          <w:tcPr>
            <w:tcW w:type="dxa" w:w="1152"/>
          </w:tcPr>
          <w:p>
            <w:pPr>
              <w:spacing w:line="240" w:lineRule="auto" w:after="0"/>
              <w:jc w:val="center"/>
            </w:pPr>
            <w:r/>
            <w:r>
              <w:rPr>
                <w:sz w:val="22"/>
              </w:rPr>
            </w:r>
          </w:p>
        </w:tc>
      </w:tr>
    </w:tbl>
    <w:p/>
    <w:p/>
    <w:p>
      <w:pPr>
        <w:jc w:val="both"/>
      </w:pPr>
      <w:r>
        <w:rPr>
          <w:b w:val="0"/>
        </w:rPr>
        <w:t>Note: Page numbers are to be filled in by Counsel after pagination. The documents forming the typed set are to be arranged in chronological order and consecutively page-numbered.</w:t>
      </w:r>
    </w:p>
    <w:p/>
    <w:p>
      <w:pPr>
        <w:jc w:val="both"/>
      </w:pPr>
      <w:r>
        <w:rPr>
          <w:b w:val="0"/>
        </w:rPr>
        <w:t xml:space="preserve">                                                                      Counsel for the Petitioner</w:t>
      </w:r>
    </w:p>
    <w:p>
      <w:r>
        <w:br w:type="page"/>
      </w:r>
    </w:p>
    <w:p>
      <w:pPr>
        <w:jc w:val="center"/>
      </w:pPr>
      <w:r>
        <w:rPr>
          <w:b/>
        </w:rPr>
        <w:t>REGISTRY AND PROCEDURAL REQUIREMENTS FOR FILING</w:t>
      </w:r>
    </w:p>
    <w:p/>
    <w:tbl>
      <w:tblPr>
        <w:tblStyle w:val="TableGrid"/>
        <w:tblW w:type="auto" w:w="0"/>
        <w:tblLayout w:type="fixed"/>
        <w:tblLook w:firstColumn="1" w:firstRow="1" w:lastColumn="0" w:lastRow="0" w:noHBand="0" w:noVBand="1" w:val="04A0"/>
      </w:tblPr>
      <w:tblGrid>
        <w:gridCol w:w="2880"/>
        <w:gridCol w:w="2880"/>
        <w:gridCol w:w="2880"/>
      </w:tblGrid>
      <w:tr>
        <w:tc>
          <w:tcPr>
            <w:tcW w:type="dxa" w:w="720"/>
          </w:tcPr>
          <w:p>
            <w:pPr>
              <w:spacing w:line="240" w:lineRule="auto" w:after="0"/>
              <w:jc w:val="center"/>
            </w:pPr>
            <w:r/>
            <w:r>
              <w:rPr>
                <w:b/>
                <w:sz w:val="22"/>
              </w:rPr>
              <w:t>Sl. No.</w:t>
            </w:r>
          </w:p>
        </w:tc>
        <w:tc>
          <w:tcPr>
            <w:tcW w:type="dxa" w:w="3744"/>
          </w:tcPr>
          <w:p>
            <w:pPr>
              <w:spacing w:line="240" w:lineRule="auto" w:after="0"/>
              <w:jc w:val="center"/>
            </w:pPr>
            <w:r/>
            <w:r>
              <w:rPr>
                <w:b/>
                <w:sz w:val="22"/>
              </w:rPr>
              <w:t>Requirement</w:t>
            </w:r>
          </w:p>
        </w:tc>
        <w:tc>
          <w:tcPr>
            <w:tcW w:type="dxa" w:w="4176"/>
          </w:tcPr>
          <w:p>
            <w:pPr>
              <w:spacing w:line="240" w:lineRule="auto" w:after="0"/>
              <w:jc w:val="center"/>
            </w:pPr>
            <w:r/>
            <w:r>
              <w:rPr>
                <w:b/>
                <w:sz w:val="22"/>
              </w:rPr>
              <w:t>Remarks</w:t>
            </w:r>
          </w:p>
        </w:tc>
      </w:tr>
      <w:tr>
        <w:tc>
          <w:tcPr>
            <w:tcW w:type="dxa" w:w="720"/>
          </w:tcPr>
          <w:p>
            <w:pPr>
              <w:spacing w:line="240" w:lineRule="auto" w:after="0"/>
              <w:jc w:val="center"/>
            </w:pPr>
            <w:r/>
            <w:r>
              <w:rPr>
                <w:sz w:val="22"/>
              </w:rPr>
              <w:t>1.</w:t>
            </w:r>
          </w:p>
        </w:tc>
        <w:tc>
          <w:tcPr>
            <w:tcW w:type="dxa" w:w="3744"/>
          </w:tcPr>
          <w:p>
            <w:pPr>
              <w:spacing w:line="240" w:lineRule="auto" w:after="0"/>
              <w:jc w:val="center"/>
            </w:pPr>
            <w:r/>
            <w:r>
              <w:rPr>
                <w:sz w:val="22"/>
              </w:rPr>
              <w:t>Vakalatnama</w:t>
            </w:r>
          </w:p>
        </w:tc>
        <w:tc>
          <w:tcPr>
            <w:tcW w:type="dxa" w:w="4176"/>
          </w:tcPr>
          <w:p>
            <w:pPr>
              <w:spacing w:line="240" w:lineRule="auto" w:after="0"/>
              <w:jc w:val="center"/>
            </w:pPr>
            <w:r/>
            <w:r>
              <w:rPr>
                <w:sz w:val="22"/>
              </w:rPr>
              <w:t>Executed by the Authorised Signatory with the seal of the company, accepted by the Advocate, bearing the Bar Council enrolment number and the welfare stamp</w:t>
            </w:r>
          </w:p>
        </w:tc>
      </w:tr>
      <w:tr>
        <w:tc>
          <w:tcPr>
            <w:tcW w:type="dxa" w:w="720"/>
          </w:tcPr>
          <w:p>
            <w:pPr>
              <w:spacing w:line="240" w:lineRule="auto" w:after="0"/>
              <w:jc w:val="center"/>
            </w:pPr>
            <w:r/>
            <w:r>
              <w:rPr>
                <w:sz w:val="22"/>
              </w:rPr>
              <w:t>2.</w:t>
            </w:r>
          </w:p>
        </w:tc>
        <w:tc>
          <w:tcPr>
            <w:tcW w:type="dxa" w:w="3744"/>
          </w:tcPr>
          <w:p>
            <w:pPr>
              <w:spacing w:line="240" w:lineRule="auto" w:after="0"/>
              <w:jc w:val="center"/>
            </w:pPr>
            <w:r/>
            <w:r>
              <w:rPr>
                <w:sz w:val="22"/>
              </w:rPr>
              <w:t>Memorandum of Writ Petition</w:t>
            </w:r>
          </w:p>
        </w:tc>
        <w:tc>
          <w:tcPr>
            <w:tcW w:type="dxa" w:w="4176"/>
          </w:tcPr>
          <w:p>
            <w:pPr>
              <w:spacing w:line="240" w:lineRule="auto" w:after="0"/>
              <w:jc w:val="center"/>
            </w:pPr>
            <w:r/>
            <w:r>
              <w:rPr>
                <w:sz w:val="22"/>
              </w:rPr>
              <w:t>With cause title, filed in duplicate</w:t>
            </w:r>
          </w:p>
        </w:tc>
      </w:tr>
      <w:tr>
        <w:tc>
          <w:tcPr>
            <w:tcW w:type="dxa" w:w="720"/>
          </w:tcPr>
          <w:p>
            <w:pPr>
              <w:spacing w:line="240" w:lineRule="auto" w:after="0"/>
              <w:jc w:val="center"/>
            </w:pPr>
            <w:r/>
            <w:r>
              <w:rPr>
                <w:sz w:val="22"/>
              </w:rPr>
              <w:t>3.</w:t>
            </w:r>
          </w:p>
        </w:tc>
        <w:tc>
          <w:tcPr>
            <w:tcW w:type="dxa" w:w="3744"/>
          </w:tcPr>
          <w:p>
            <w:pPr>
              <w:spacing w:line="240" w:lineRule="auto" w:after="0"/>
              <w:jc w:val="center"/>
            </w:pPr>
            <w:r/>
            <w:r>
              <w:rPr>
                <w:sz w:val="22"/>
              </w:rPr>
              <w:t>Affidavit in support</w:t>
            </w:r>
          </w:p>
        </w:tc>
        <w:tc>
          <w:tcPr>
            <w:tcW w:type="dxa" w:w="4176"/>
          </w:tcPr>
          <w:p>
            <w:pPr>
              <w:spacing w:line="240" w:lineRule="auto" w:after="0"/>
              <w:jc w:val="center"/>
            </w:pPr>
            <w:r/>
            <w:r>
              <w:rPr>
                <w:sz w:val="22"/>
              </w:rPr>
              <w:t>Sworn before an Advocate, Notary or Oath Commissioner, with the deponent's authority annexed</w:t>
            </w:r>
          </w:p>
        </w:tc>
      </w:tr>
      <w:tr>
        <w:tc>
          <w:tcPr>
            <w:tcW w:type="dxa" w:w="720"/>
          </w:tcPr>
          <w:p>
            <w:pPr>
              <w:spacing w:line="240" w:lineRule="auto" w:after="0"/>
              <w:jc w:val="center"/>
            </w:pPr>
            <w:r/>
            <w:r>
              <w:rPr>
                <w:sz w:val="22"/>
              </w:rPr>
              <w:t>4.</w:t>
            </w:r>
          </w:p>
        </w:tc>
        <w:tc>
          <w:tcPr>
            <w:tcW w:type="dxa" w:w="3744"/>
          </w:tcPr>
          <w:p>
            <w:pPr>
              <w:spacing w:line="240" w:lineRule="auto" w:after="0"/>
              <w:jc w:val="center"/>
            </w:pPr>
            <w:r/>
            <w:r>
              <w:rPr>
                <w:sz w:val="22"/>
              </w:rPr>
              <w:t>Board Resolution</w:t>
            </w:r>
          </w:p>
        </w:tc>
        <w:tc>
          <w:tcPr>
            <w:tcW w:type="dxa" w:w="4176"/>
          </w:tcPr>
          <w:p>
            <w:pPr>
              <w:spacing w:line="240" w:lineRule="auto" w:after="0"/>
              <w:jc w:val="center"/>
            </w:pPr>
            <w:r/>
            <w:r>
              <w:rPr>
                <w:sz w:val="22"/>
              </w:rPr>
              <w:t>Mandatory; the Registry will not number the Writ Petition without it</w:t>
            </w:r>
          </w:p>
        </w:tc>
      </w:tr>
      <w:tr>
        <w:tc>
          <w:tcPr>
            <w:tcW w:type="dxa" w:w="720"/>
          </w:tcPr>
          <w:p>
            <w:pPr>
              <w:spacing w:line="240" w:lineRule="auto" w:after="0"/>
              <w:jc w:val="center"/>
            </w:pPr>
            <w:r/>
            <w:r>
              <w:rPr>
                <w:sz w:val="22"/>
              </w:rPr>
              <w:t>5.</w:t>
            </w:r>
          </w:p>
        </w:tc>
        <w:tc>
          <w:tcPr>
            <w:tcW w:type="dxa" w:w="3744"/>
          </w:tcPr>
          <w:p>
            <w:pPr>
              <w:spacing w:line="240" w:lineRule="auto" w:after="0"/>
              <w:jc w:val="center"/>
            </w:pPr>
            <w:r/>
            <w:r>
              <w:rPr>
                <w:sz w:val="22"/>
              </w:rPr>
              <w:t>Index and typed set of papers</w:t>
            </w:r>
          </w:p>
        </w:tc>
        <w:tc>
          <w:tcPr>
            <w:tcW w:type="dxa" w:w="4176"/>
          </w:tcPr>
          <w:p>
            <w:pPr>
              <w:spacing w:line="240" w:lineRule="auto" w:after="0"/>
              <w:jc w:val="center"/>
            </w:pPr>
            <w:r/>
            <w:r>
              <w:rPr>
                <w:sz w:val="22"/>
              </w:rPr>
              <w:t>Chronological order, consecutively page-numbered, with the Advocate's certificate that the copies are true copies of the originals</w:t>
            </w:r>
          </w:p>
        </w:tc>
      </w:tr>
      <w:tr>
        <w:tc>
          <w:tcPr>
            <w:tcW w:type="dxa" w:w="720"/>
          </w:tcPr>
          <w:p>
            <w:pPr>
              <w:spacing w:line="240" w:lineRule="auto" w:after="0"/>
              <w:jc w:val="center"/>
            </w:pPr>
            <w:r/>
            <w:r>
              <w:rPr>
                <w:sz w:val="22"/>
              </w:rPr>
              <w:t>6.</w:t>
            </w:r>
          </w:p>
        </w:tc>
        <w:tc>
          <w:tcPr>
            <w:tcW w:type="dxa" w:w="3744"/>
          </w:tcPr>
          <w:p>
            <w:pPr>
              <w:spacing w:line="240" w:lineRule="auto" w:after="0"/>
              <w:jc w:val="center"/>
            </w:pPr>
            <w:r/>
            <w:r>
              <w:rPr>
                <w:sz w:val="22"/>
              </w:rPr>
              <w:t>Court fee</w:t>
            </w:r>
          </w:p>
        </w:tc>
        <w:tc>
          <w:tcPr>
            <w:tcW w:type="dxa" w:w="4176"/>
          </w:tcPr>
          <w:p>
            <w:pPr>
              <w:spacing w:line="240" w:lineRule="auto" w:after="0"/>
              <w:jc w:val="center"/>
            </w:pPr>
            <w:r/>
            <w:r>
              <w:rPr>
                <w:sz w:val="22"/>
              </w:rPr>
              <w:t>As applicable on the Writ Petition and on each Miscellaneous Petition</w:t>
            </w:r>
          </w:p>
        </w:tc>
      </w:tr>
      <w:tr>
        <w:tc>
          <w:tcPr>
            <w:tcW w:type="dxa" w:w="720"/>
          </w:tcPr>
          <w:p>
            <w:pPr>
              <w:spacing w:line="240" w:lineRule="auto" w:after="0"/>
              <w:jc w:val="center"/>
            </w:pPr>
            <w:r/>
            <w:r>
              <w:rPr>
                <w:sz w:val="22"/>
              </w:rPr>
              <w:t>7.</w:t>
            </w:r>
          </w:p>
        </w:tc>
        <w:tc>
          <w:tcPr>
            <w:tcW w:type="dxa" w:w="3744"/>
          </w:tcPr>
          <w:p>
            <w:pPr>
              <w:spacing w:line="240" w:lineRule="auto" w:after="0"/>
              <w:jc w:val="center"/>
            </w:pPr>
            <w:r/>
            <w:r>
              <w:rPr>
                <w:sz w:val="22"/>
              </w:rPr>
              <w:t>Statement as to earlier proceedings</w:t>
            </w:r>
          </w:p>
        </w:tc>
        <w:tc>
          <w:tcPr>
            <w:tcW w:type="dxa" w:w="4176"/>
          </w:tcPr>
          <w:p>
            <w:pPr>
              <w:spacing w:line="240" w:lineRule="auto" w:after="0"/>
              <w:jc w:val="center"/>
            </w:pPr>
            <w:r/>
            <w:r>
              <w:rPr>
                <w:sz w:val="22"/>
              </w:rPr>
              <w:t>Whether any similar Writ Petition has been filed earlier, as required by the Writ Rules of this Hon'ble Court, and whether any caveat has been received</w:t>
            </w:r>
          </w:p>
        </w:tc>
      </w:tr>
      <w:tr>
        <w:tc>
          <w:tcPr>
            <w:tcW w:type="dxa" w:w="720"/>
          </w:tcPr>
          <w:p>
            <w:pPr>
              <w:spacing w:line="240" w:lineRule="auto" w:after="0"/>
              <w:jc w:val="center"/>
            </w:pPr>
            <w:r/>
            <w:r>
              <w:rPr>
                <w:sz w:val="22"/>
              </w:rPr>
              <w:t>8.</w:t>
            </w:r>
          </w:p>
        </w:tc>
        <w:tc>
          <w:tcPr>
            <w:tcW w:type="dxa" w:w="3744"/>
          </w:tcPr>
          <w:p>
            <w:pPr>
              <w:spacing w:line="240" w:lineRule="auto" w:after="0"/>
              <w:jc w:val="center"/>
            </w:pPr>
            <w:r/>
            <w:r>
              <w:rPr>
                <w:sz w:val="22"/>
              </w:rPr>
              <w:t>Advance notice</w:t>
            </w:r>
          </w:p>
        </w:tc>
        <w:tc>
          <w:tcPr>
            <w:tcW w:type="dxa" w:w="4176"/>
          </w:tcPr>
          <w:p>
            <w:pPr>
              <w:spacing w:line="240" w:lineRule="auto" w:after="0"/>
              <w:jc w:val="center"/>
            </w:pPr>
            <w:r/>
            <w:r>
              <w:rPr>
                <w:sz w:val="22"/>
              </w:rPr>
              <w:t>Proof of service of the advance copy on the Central Government Standing Counsel / Senior Panel Counsel for Customs before mentioning for urgent listing</w:t>
            </w:r>
          </w:p>
        </w:tc>
      </w:tr>
      <w:tr>
        <w:tc>
          <w:tcPr>
            <w:tcW w:type="dxa" w:w="720"/>
          </w:tcPr>
          <w:p>
            <w:pPr>
              <w:spacing w:line="240" w:lineRule="auto" w:after="0"/>
              <w:jc w:val="center"/>
            </w:pPr>
            <w:r/>
            <w:r>
              <w:rPr>
                <w:sz w:val="22"/>
              </w:rPr>
              <w:t>9.</w:t>
            </w:r>
          </w:p>
        </w:tc>
        <w:tc>
          <w:tcPr>
            <w:tcW w:type="dxa" w:w="3744"/>
          </w:tcPr>
          <w:p>
            <w:pPr>
              <w:spacing w:line="240" w:lineRule="auto" w:after="0"/>
              <w:jc w:val="center"/>
            </w:pPr>
            <w:r/>
            <w:r>
              <w:rPr>
                <w:sz w:val="22"/>
              </w:rPr>
              <w:t>E-filing particulars</w:t>
            </w:r>
          </w:p>
        </w:tc>
        <w:tc>
          <w:tcPr>
            <w:tcW w:type="dxa" w:w="4176"/>
          </w:tcPr>
          <w:p>
            <w:pPr>
              <w:spacing w:line="240" w:lineRule="auto" w:after="0"/>
              <w:jc w:val="center"/>
            </w:pPr>
            <w:r/>
            <w:r>
              <w:rPr>
                <w:sz w:val="22"/>
              </w:rPr>
              <w:t>Details of the authorised representative and the e-mail address and mobile number for the Registry's e-filing portal</w:t>
            </w:r>
          </w:p>
        </w:tc>
      </w:tr>
    </w:tbl>
    <w:p/>
    <w:p/>
    <w:p>
      <w:pPr>
        <w:jc w:val="center"/>
      </w:pPr>
      <w:r>
        <w:rPr>
          <w:b/>
        </w:rPr>
        <w:t>DOCUMENTS TO BE OBTAINED BEFORE FILING</w:t>
      </w:r>
    </w:p>
    <w:p/>
    <w:tbl>
      <w:tblPr>
        <w:tblStyle w:val="TableGrid"/>
        <w:tblW w:type="auto" w:w="0"/>
        <w:tblLayout w:type="fixed"/>
        <w:tblLook w:firstColumn="1" w:firstRow="1" w:lastColumn="0" w:lastRow="0" w:noHBand="0" w:noVBand="1" w:val="04A0"/>
      </w:tblPr>
      <w:tblGrid>
        <w:gridCol w:w="2880"/>
        <w:gridCol w:w="2880"/>
        <w:gridCol w:w="2880"/>
      </w:tblGrid>
      <w:tr>
        <w:tc>
          <w:tcPr>
            <w:tcW w:type="dxa" w:w="720"/>
          </w:tcPr>
          <w:p>
            <w:pPr>
              <w:spacing w:line="240" w:lineRule="auto" w:after="0"/>
              <w:jc w:val="center"/>
            </w:pPr>
            <w:r/>
            <w:r>
              <w:rPr>
                <w:b/>
                <w:sz w:val="22"/>
              </w:rPr>
              <w:t>Sl. No.</w:t>
            </w:r>
          </w:p>
        </w:tc>
        <w:tc>
          <w:tcPr>
            <w:tcW w:type="dxa" w:w="3744"/>
          </w:tcPr>
          <w:p>
            <w:pPr>
              <w:spacing w:line="240" w:lineRule="auto" w:after="0"/>
              <w:jc w:val="center"/>
            </w:pPr>
            <w:r/>
            <w:r>
              <w:rPr>
                <w:b/>
                <w:sz w:val="22"/>
              </w:rPr>
              <w:t>Document</w:t>
            </w:r>
          </w:p>
        </w:tc>
        <w:tc>
          <w:tcPr>
            <w:tcW w:type="dxa" w:w="4176"/>
          </w:tcPr>
          <w:p>
            <w:pPr>
              <w:spacing w:line="240" w:lineRule="auto" w:after="0"/>
              <w:jc w:val="center"/>
            </w:pPr>
            <w:r/>
            <w:r>
              <w:rPr>
                <w:b/>
                <w:sz w:val="22"/>
              </w:rPr>
              <w:t>Action / Purpose</w:t>
            </w:r>
          </w:p>
        </w:tc>
      </w:tr>
      <w:tr>
        <w:tc>
          <w:tcPr>
            <w:tcW w:type="dxa" w:w="720"/>
          </w:tcPr>
          <w:p>
            <w:pPr>
              <w:spacing w:line="240" w:lineRule="auto" w:after="0"/>
              <w:jc w:val="center"/>
            </w:pPr>
            <w:r/>
            <w:r>
              <w:rPr>
                <w:sz w:val="22"/>
              </w:rPr>
              <w:t>1.</w:t>
            </w:r>
          </w:p>
        </w:tc>
        <w:tc>
          <w:tcPr>
            <w:tcW w:type="dxa" w:w="3744"/>
          </w:tcPr>
          <w:p>
            <w:pPr>
              <w:spacing w:line="240" w:lineRule="auto" w:after="0"/>
              <w:jc w:val="center"/>
            </w:pPr>
            <w:r/>
            <w:r>
              <w:rPr>
                <w:sz w:val="22"/>
              </w:rPr>
              <w:t>Panchanama / mahazar and sampling memo dated 07.08.2026</w:t>
            </w:r>
          </w:p>
        </w:tc>
        <w:tc>
          <w:tcPr>
            <w:tcW w:type="dxa" w:w="4176"/>
          </w:tcPr>
          <w:p>
            <w:pPr>
              <w:spacing w:line="240" w:lineRule="auto" w:after="0"/>
              <w:jc w:val="center"/>
            </w:pPr>
            <w:r/>
            <w:r>
              <w:rPr>
                <w:sz w:val="22"/>
              </w:rPr>
              <w:t>To be sought in writing from the Special Intelligence and Investigation Branch forthwith, so that the non-supply is itself on record before filing</w:t>
            </w:r>
          </w:p>
        </w:tc>
      </w:tr>
      <w:tr>
        <w:tc>
          <w:tcPr>
            <w:tcW w:type="dxa" w:w="720"/>
          </w:tcPr>
          <w:p>
            <w:pPr>
              <w:spacing w:line="240" w:lineRule="auto" w:after="0"/>
              <w:jc w:val="center"/>
            </w:pPr>
            <w:r/>
            <w:r>
              <w:rPr>
                <w:sz w:val="22"/>
              </w:rPr>
              <w:t>2.</w:t>
            </w:r>
          </w:p>
        </w:tc>
        <w:tc>
          <w:tcPr>
            <w:tcW w:type="dxa" w:w="3744"/>
          </w:tcPr>
          <w:p>
            <w:pPr>
              <w:spacing w:line="240" w:lineRule="auto" w:after="0"/>
              <w:jc w:val="center"/>
            </w:pPr>
            <w:r/>
            <w:r>
              <w:rPr>
                <w:sz w:val="22"/>
              </w:rPr>
              <w:t>Detention order, seizure memo or any written communication in respect of the consignment</w:t>
            </w:r>
          </w:p>
        </w:tc>
        <w:tc>
          <w:tcPr>
            <w:tcW w:type="dxa" w:w="4176"/>
          </w:tcPr>
          <w:p>
            <w:pPr>
              <w:spacing w:line="240" w:lineRule="auto" w:after="0"/>
              <w:jc w:val="center"/>
            </w:pPr>
            <w:r/>
            <w:r>
              <w:rPr>
                <w:sz w:val="22"/>
              </w:rPr>
              <w:t>A written request to be made and the absence of any reply to be pleaded</w:t>
            </w:r>
          </w:p>
        </w:tc>
      </w:tr>
      <w:tr>
        <w:tc>
          <w:tcPr>
            <w:tcW w:type="dxa" w:w="720"/>
          </w:tcPr>
          <w:p>
            <w:pPr>
              <w:spacing w:line="240" w:lineRule="auto" w:after="0"/>
              <w:jc w:val="center"/>
            </w:pPr>
            <w:r/>
            <w:r>
              <w:rPr>
                <w:sz w:val="22"/>
              </w:rPr>
              <w:t>3.</w:t>
            </w:r>
          </w:p>
        </w:tc>
        <w:tc>
          <w:tcPr>
            <w:tcW w:type="dxa" w:w="3744"/>
          </w:tcPr>
          <w:p>
            <w:pPr>
              <w:spacing w:line="240" w:lineRule="auto" w:after="0"/>
              <w:jc w:val="center"/>
            </w:pPr>
            <w:r/>
            <w:r>
              <w:rPr>
                <w:sz w:val="22"/>
              </w:rPr>
              <w:t>Application for provisional release under Section 110A of the Customs Act, 1962</w:t>
            </w:r>
          </w:p>
        </w:tc>
        <w:tc>
          <w:tcPr>
            <w:tcW w:type="dxa" w:w="4176"/>
          </w:tcPr>
          <w:p>
            <w:pPr>
              <w:spacing w:line="240" w:lineRule="auto" w:after="0"/>
              <w:jc w:val="center"/>
            </w:pPr>
            <w:r/>
            <w:r>
              <w:rPr>
                <w:sz w:val="22"/>
              </w:rPr>
              <w:t>To be filed with Respondent No. 1 before the Writ Petition is moved, so that the silence or refusal is on record</w:t>
            </w:r>
          </w:p>
        </w:tc>
      </w:tr>
      <w:tr>
        <w:tc>
          <w:tcPr>
            <w:tcW w:type="dxa" w:w="720"/>
          </w:tcPr>
          <w:p>
            <w:pPr>
              <w:spacing w:line="240" w:lineRule="auto" w:after="0"/>
              <w:jc w:val="center"/>
            </w:pPr>
            <w:r/>
            <w:r>
              <w:rPr>
                <w:sz w:val="22"/>
              </w:rPr>
              <w:t>4.</w:t>
            </w:r>
          </w:p>
        </w:tc>
        <w:tc>
          <w:tcPr>
            <w:tcW w:type="dxa" w:w="3744"/>
          </w:tcPr>
          <w:p>
            <w:pPr>
              <w:spacing w:line="240" w:lineRule="auto" w:after="0"/>
              <w:jc w:val="center"/>
            </w:pPr>
            <w:r/>
            <w:r>
              <w:rPr>
                <w:sz w:val="22"/>
              </w:rPr>
              <w:t>Dated office copy of the Standard Operating Procedure, and the IRMS instruction issued under clause 11 thereof</w:t>
            </w:r>
          </w:p>
        </w:tc>
        <w:tc>
          <w:tcPr>
            <w:tcW w:type="dxa" w:w="4176"/>
          </w:tcPr>
          <w:p>
            <w:pPr>
              <w:spacing w:line="240" w:lineRule="auto" w:after="0"/>
              <w:jc w:val="center"/>
            </w:pPr>
            <w:r/>
            <w:r>
              <w:rPr>
                <w:sz w:val="22"/>
              </w:rPr>
              <w:t>The copy available with the Petitioner bears the file number and e-file number but no date on its face</w:t>
            </w:r>
          </w:p>
        </w:tc>
      </w:tr>
      <w:tr>
        <w:tc>
          <w:tcPr>
            <w:tcW w:type="dxa" w:w="720"/>
          </w:tcPr>
          <w:p>
            <w:pPr>
              <w:spacing w:line="240" w:lineRule="auto" w:after="0"/>
              <w:jc w:val="center"/>
            </w:pPr>
            <w:r/>
            <w:r>
              <w:rPr>
                <w:sz w:val="22"/>
              </w:rPr>
              <w:t>5.</w:t>
            </w:r>
          </w:p>
        </w:tc>
        <w:tc>
          <w:tcPr>
            <w:tcW w:type="dxa" w:w="3744"/>
          </w:tcPr>
          <w:p>
            <w:pPr>
              <w:spacing w:line="240" w:lineRule="auto" w:after="0"/>
              <w:jc w:val="center"/>
            </w:pPr>
            <w:r/>
            <w:r>
              <w:rPr>
                <w:sz w:val="22"/>
              </w:rPr>
              <w:t>Chennai Customs Sampling Procedure / Standing Instructions referred to in clause 4(c) of the Standard Operating Procedure</w:t>
            </w:r>
          </w:p>
        </w:tc>
        <w:tc>
          <w:tcPr>
            <w:tcW w:type="dxa" w:w="4176"/>
          </w:tcPr>
          <w:p>
            <w:pPr>
              <w:spacing w:line="240" w:lineRule="auto" w:after="0"/>
              <w:jc w:val="center"/>
            </w:pPr>
            <w:r/>
            <w:r>
              <w:rPr>
                <w:sz w:val="22"/>
              </w:rPr>
              <w:t>To demonstrate the manner in which sampling was required to be carried out</w:t>
            </w:r>
          </w:p>
        </w:tc>
      </w:tr>
      <w:tr>
        <w:tc>
          <w:tcPr>
            <w:tcW w:type="dxa" w:w="720"/>
          </w:tcPr>
          <w:p>
            <w:pPr>
              <w:spacing w:line="240" w:lineRule="auto" w:after="0"/>
              <w:jc w:val="center"/>
            </w:pPr>
            <w:r/>
            <w:r>
              <w:rPr>
                <w:sz w:val="22"/>
              </w:rPr>
              <w:t>6.</w:t>
            </w:r>
          </w:p>
        </w:tc>
        <w:tc>
          <w:tcPr>
            <w:tcW w:type="dxa" w:w="3744"/>
          </w:tcPr>
          <w:p>
            <w:pPr>
              <w:spacing w:line="240" w:lineRule="auto" w:after="0"/>
              <w:jc w:val="center"/>
            </w:pPr>
            <w:r/>
            <w:r>
              <w:rPr>
                <w:sz w:val="22"/>
              </w:rPr>
              <w:t>Chennai Air Cargo Complex Public Notice on the movement of Special Economic Zone and FTWZ cargo out of the Air Cargo Complex</w:t>
            </w:r>
          </w:p>
        </w:tc>
        <w:tc>
          <w:tcPr>
            <w:tcW w:type="dxa" w:w="4176"/>
          </w:tcPr>
          <w:p>
            <w:pPr>
              <w:spacing w:line="240" w:lineRule="auto" w:after="0"/>
              <w:jc w:val="center"/>
            </w:pPr>
            <w:r/>
            <w:r>
              <w:rPr>
                <w:sz w:val="22"/>
              </w:rPr>
              <w:t>To identify the officer competent to permit the movement</w:t>
            </w:r>
          </w:p>
        </w:tc>
      </w:tr>
      <w:tr>
        <w:tc>
          <w:tcPr>
            <w:tcW w:type="dxa" w:w="720"/>
          </w:tcPr>
          <w:p>
            <w:pPr>
              <w:spacing w:line="240" w:lineRule="auto" w:after="0"/>
              <w:jc w:val="center"/>
            </w:pPr>
            <w:r/>
            <w:r>
              <w:rPr>
                <w:sz w:val="22"/>
              </w:rPr>
              <w:t>7.</w:t>
            </w:r>
          </w:p>
        </w:tc>
        <w:tc>
          <w:tcPr>
            <w:tcW w:type="dxa" w:w="3744"/>
          </w:tcPr>
          <w:p>
            <w:pPr>
              <w:spacing w:line="240" w:lineRule="auto" w:after="0"/>
              <w:jc w:val="center"/>
            </w:pPr>
            <w:r/>
            <w:r>
              <w:rPr>
                <w:sz w:val="22"/>
              </w:rPr>
              <w:t>Written confirmation from the custodian</w:t>
            </w:r>
          </w:p>
        </w:tc>
        <w:tc>
          <w:tcPr>
            <w:tcW w:type="dxa" w:w="4176"/>
          </w:tcPr>
          <w:p>
            <w:pPr>
              <w:spacing w:line="240" w:lineRule="auto" w:after="0"/>
              <w:jc w:val="center"/>
            </w:pPr>
            <w:r/>
            <w:r>
              <w:rPr>
                <w:sz w:val="22"/>
              </w:rPr>
              <w:t>Of the date from which the consignment has been held back and the demurrage and ground rent accrued to date</w:t>
            </w:r>
          </w:p>
        </w:tc>
      </w:tr>
      <w:tr>
        <w:tc>
          <w:tcPr>
            <w:tcW w:type="dxa" w:w="720"/>
          </w:tcPr>
          <w:p>
            <w:pPr>
              <w:spacing w:line="240" w:lineRule="auto" w:after="0"/>
              <w:jc w:val="center"/>
            </w:pPr>
            <w:r/>
            <w:r>
              <w:rPr>
                <w:sz w:val="22"/>
              </w:rPr>
              <w:t>8.</w:t>
            </w:r>
          </w:p>
        </w:tc>
        <w:tc>
          <w:tcPr>
            <w:tcW w:type="dxa" w:w="3744"/>
          </w:tcPr>
          <w:p>
            <w:pPr>
              <w:spacing w:line="240" w:lineRule="auto" w:after="0"/>
              <w:jc w:val="center"/>
            </w:pPr>
            <w:r/>
            <w:r>
              <w:rPr>
                <w:sz w:val="22"/>
              </w:rPr>
              <w:t>Certified or official copies of the authorities relied upon</w:t>
            </w:r>
          </w:p>
        </w:tc>
        <w:tc>
          <w:tcPr>
            <w:tcW w:type="dxa" w:w="4176"/>
          </w:tcPr>
          <w:p>
            <w:pPr>
              <w:spacing w:line="240" w:lineRule="auto" w:after="0"/>
              <w:jc w:val="center"/>
            </w:pPr>
            <w:r/>
            <w:r>
              <w:rPr>
                <w:sz w:val="22"/>
              </w:rPr>
              <w:t>Union of India v. Jatin Ahuja (SC, 11.09.2025); Jatinder Kumar Sachdeva v. Union of India (Del., 08.12.2016); Exim Incorporation v. Union of India (Bom., 09.12.2020); S.J. Fabrics Pvt. Ltd. v. Union of India (Cal., 19.04.2011); Om Udyog v. Union of India (P and H, 14.05.2010); Principal Commissioner of Customs-III (SIIB) v. B.V. Leathers (Mad., 19.09.2017); J.K. Exim v. Principal Commissioner of Customs, W.P. No. 36866 of 2016 (Mad., 19.01.2017), 2017 (348) E.L.T. 612 (Mad.); Hi Rexine v. Additional Commissioner of Customs (SEZ-FTWZ), W.P. No. 28694 of 2025 (Mad., 23.09.2025); Nova Enterprises v. Additional Commissioner of Customs (SEZ-FTWZ), W.P. No. 29074 of 2025 (Mad., 23.09.2025); A.R. Fabrics Pvt. Ltd. v. Principal Commissioner of Customs, W.P. No. 26414 of 2025 (Mad., 26.09.2025); Navshakti Industries, 2011 (269) ELT (A-146) (SC); Hi Rexine v. Deputy Director, DRI, W.P. No. 15944 of 2025 (Mad., 02.06.2025); Hi Rexine v. Additional Commissioner of Customs (SEZ-FTWZ), W.P. No. 28694 of 2025 (Mad., 23.09.2025); W.P. No. 32472 of 2025 (Mad., 18.09.2025); Green Line v. Commissioner of Customs, Chennai-IV, 2016 (340) E.L.T. 140 (Mad.), affirmed in W.A. No. 1243 of 2016 (25.10.2016); Commissioner of Customs v. Sri Venkateshwara Paper Boards, 2022 (379) E.L.T. 310 (Mad.); Navshakti Industries Pvt. Ltd. v. Commissioner of Customs, Delhi, 2011 (267) E.L.T. 483 (Del.), affirmed 2011 (269) E.L.T. (A-146) (SC)</w:t>
            </w:r>
          </w:p>
        </w:tc>
      </w:tr>
      <w:tr>
        <w:tc>
          <w:tcPr>
            <w:tcW w:type="dxa" w:w="720"/>
          </w:tcPr>
          <w:p>
            <w:pPr>
              <w:spacing w:line="240" w:lineRule="auto" w:after="0"/>
              <w:jc w:val="center"/>
            </w:pPr>
            <w:r/>
            <w:r>
              <w:rPr>
                <w:sz w:val="22"/>
              </w:rPr>
              <w:t>9.</w:t>
            </w:r>
          </w:p>
        </w:tc>
        <w:tc>
          <w:tcPr>
            <w:tcW w:type="dxa" w:w="3744"/>
          </w:tcPr>
          <w:p>
            <w:pPr>
              <w:spacing w:line="240" w:lineRule="auto" w:after="0"/>
              <w:jc w:val="center"/>
            </w:pPr>
            <w:r/>
            <w:r>
              <w:rPr>
                <w:sz w:val="22"/>
              </w:rPr>
              <w:t>Copies of the statutory provisions and circulars, if required by the Registry</w:t>
            </w:r>
          </w:p>
        </w:tc>
        <w:tc>
          <w:tcPr>
            <w:tcW w:type="dxa" w:w="4176"/>
          </w:tcPr>
          <w:p>
            <w:pPr>
              <w:spacing w:line="240" w:lineRule="auto" w:after="0"/>
              <w:jc w:val="center"/>
            </w:pPr>
            <w:r/>
            <w:r>
              <w:rPr>
                <w:sz w:val="22"/>
              </w:rPr>
              <w:t>Sections 17, 18, 48, 100 to 105, 110, 110A and 144 of the Customs Act, 1962; Sections 21, 22, 51 and 53 of the SEZ Act, 2005; S.O. 2666(E) and S.O. 2667(E) dated 05.08.2016; Rules 2(c), 18(5), 27(10), 29(2), 47(5) and 75 of the SEZ Rules, 2006; CBIC Circulars No. 84/95-Cus, No. 01/2011-Cus dated 04.01.2011, No. 30/2013-Cus, No. 30/2017-Cus and No. 43/2017-Cus</w:t>
            </w:r>
          </w:p>
        </w:tc>
      </w:tr>
    </w:tbl>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