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AAAPURTI RENEWABLE ENERGY INDIA PRIVATE LIMITED</w:t>
      </w:r>
    </w:p>
    <w:p>
      <w:pPr>
        <w:pStyle w:val="Heading2"/>
      </w:pPr>
      <w:r>
        <w:t>COMPENDIUM OF LAW, NOTIFICATIONS, CIRCULARS AND CASE LAW</w:t>
      </w:r>
    </w:p>
    <w:p>
      <w:pPr>
        <w:jc w:val="both"/>
      </w:pPr>
      <w:r>
        <w:t>Blister Copper (CTH 7402) — Z-type Bill of Entry — FTWZ warehousing — Customs/SIIB detention and sampling</w:t>
      </w:r>
    </w:p>
    <w:p>
      <w:pPr>
        <w:jc w:val="both"/>
      </w:pPr>
      <w:r>
        <w:t xml:space="preserve">Prepared for Counsel. Every entry below is marked </w:t>
      </w:r>
      <w:r>
        <w:rPr>
          <w:b/>
        </w:rPr>
        <w:t>[Verified]</w:t>
      </w:r>
      <w:r>
        <w:t xml:space="preserve"> where the primary or reported text has been read, </w:t>
      </w:r>
      <w:r>
        <w:rPr>
          <w:b/>
        </w:rPr>
        <w:t>[Reported]</w:t>
      </w:r>
      <w:r>
        <w:t xml:space="preserve"> where only a reported/secondary source has been read, and </w:t>
      </w:r>
      <w:r>
        <w:rPr>
          <w:b/>
        </w:rPr>
        <w:t>[To verify]</w:t>
      </w:r>
      <w:r>
        <w:t xml:space="preserve"> where the citation must be checked against the official text before it is cited in Court.</w:t>
      </w:r>
    </w:p>
    <w:p>
      <w:pPr>
        <w:pStyle w:val="Heading2"/>
      </w:pPr>
      <w:r>
        <w:t>PART I — THE TWO PROCEEDINGS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p>
        </w:tc>
        <w:tc>
          <w:tcPr>
            <w:tcW w:type="dxa" w:w="3120"/>
          </w:tcPr>
          <w:p>
            <w:r>
              <w:rPr>
                <w:b/>
              </w:rPr>
            </w:r>
            <w:r>
              <w:rPr>
                <w:b/>
              </w:rPr>
              <w:t>Consignment A — Air Cargo</w:t>
            </w:r>
          </w:p>
        </w:tc>
        <w:tc>
          <w:tcPr>
            <w:tcW w:type="dxa" w:w="3120"/>
          </w:tcPr>
          <w:p>
            <w:r>
              <w:rPr>
                <w:b/>
              </w:rPr>
            </w:r>
            <w:r>
              <w:rPr>
                <w:b/>
              </w:rPr>
              <w:t>Consignment B — FTWZ</w:t>
            </w:r>
          </w:p>
        </w:tc>
      </w:tr>
      <w:tr>
        <w:tc>
          <w:tcPr>
            <w:tcW w:type="dxa" w:w="3120"/>
          </w:tcPr>
          <w:p>
            <w:r/>
            <w:r>
              <w:t>Formation acting</w:t>
            </w:r>
          </w:p>
        </w:tc>
        <w:tc>
          <w:tcPr>
            <w:tcW w:type="dxa" w:w="3120"/>
          </w:tcPr>
          <w:p>
            <w:r/>
            <w:r>
              <w:t>SIIB, Air Cargo Complex, Meenambakkam</w:t>
            </w:r>
          </w:p>
        </w:tc>
        <w:tc>
          <w:tcPr>
            <w:tcW w:type="dxa" w:w="3120"/>
          </w:tcPr>
          <w:p>
            <w:r/>
            <w:r>
              <w:t>SIIB, Chennai-III (Preventive) Commissionerate, Custom House, Rajaji Salai</w:t>
            </w:r>
          </w:p>
        </w:tc>
      </w:tr>
      <w:tr>
        <w:tc>
          <w:tcPr>
            <w:tcW w:type="dxa" w:w="3120"/>
          </w:tcPr>
          <w:p>
            <w:r/>
            <w:r>
              <w:t>Bill of Entry</w:t>
            </w:r>
          </w:p>
        </w:tc>
        <w:tc>
          <w:tcPr>
            <w:tcW w:type="dxa" w:w="3120"/>
          </w:tcPr>
          <w:p>
            <w:r/>
            <w:r>
              <w:t>Z-type B/E No. 2875354 dated 01.08.2026</w:t>
            </w:r>
          </w:p>
        </w:tc>
        <w:tc>
          <w:tcPr>
            <w:tcW w:type="dxa" w:w="3120"/>
          </w:tcPr>
          <w:p>
            <w:r/>
            <w:r>
              <w:t>Z-type B/E No. 2875203 dated 01.08.2026, Port Code INNPK6, Doc. No. BE0010820261217 [Verified — assessed copy read]</w:t>
            </w:r>
          </w:p>
        </w:tc>
      </w:tr>
      <w:tr>
        <w:tc>
          <w:tcPr>
            <w:tcW w:type="dxa" w:w="3120"/>
          </w:tcPr>
          <w:p>
            <w:r/>
            <w:r>
              <w:t>Goods</w:t>
            </w:r>
          </w:p>
        </w:tc>
        <w:tc>
          <w:tcPr>
            <w:tcW w:type="dxa" w:w="3120"/>
          </w:tcPr>
          <w:p>
            <w:r/>
            <w:r>
              <w:t>Blister Copper, CTH 7402, 414.556 kgs, declared value Rs. 8,32,51,039.90, origin UAE</w:t>
            </w:r>
          </w:p>
        </w:tc>
        <w:tc>
          <w:tcPr>
            <w:tcW w:type="dxa" w:w="3120"/>
          </w:tcPr>
          <w:p>
            <w:r/>
            <w:r>
              <w:t>Blister Copper, CTH 7402 0010, 395.276 kgs in 5 packages (gross 421 kgs), invoice Exp/2026/018 dated 30.07.2026, USD 8,00,987.29 CIF, assessable value Rs. 7,78,55,964.59, IGST foregone Rs. 1,40,14,074; MAWB 51411908805 dated 31.07.2026; IGM 3109623 dated 01.08.2026; origin/consignment UAE, loading Sharjah; supplier/third party Gemtec Jewellery FZE, Hamriyah Free Zone, Sharjah; submitted 12:16 and assessed 12:17 on 01.08.2026 on transaction value (Rule 4)</w:t>
            </w:r>
          </w:p>
        </w:tc>
      </w:tr>
      <w:tr>
        <w:tc>
          <w:tcPr>
            <w:tcW w:type="dxa" w:w="3120"/>
          </w:tcPr>
          <w:p>
            <w:r/>
            <w:r>
              <w:t>Physical location of the goods</w:t>
            </w:r>
          </w:p>
        </w:tc>
        <w:tc>
          <w:tcPr>
            <w:tcW w:type="dxa" w:w="3120"/>
          </w:tcPr>
          <w:p>
            <w:r/>
            <w:r>
              <w:t>Air Cargo Complex, Chennai (not yet admitted into the Zone)</w:t>
            </w:r>
          </w:p>
        </w:tc>
        <w:tc>
          <w:tcPr>
            <w:tcW w:type="dxa" w:w="3120"/>
          </w:tcPr>
          <w:p>
            <w:r/>
            <w:r>
              <w:t>Warehouse No. 12, Part-G, Survey Nos. 161 and 162, NDR Infrastructure Pvt. Ltd. FTWZ, Nandiambakkam Port Road, Chennai</w:t>
            </w:r>
          </w:p>
        </w:tc>
      </w:tr>
      <w:tr>
        <w:tc>
          <w:tcPr>
            <w:tcW w:type="dxa" w:w="3120"/>
          </w:tcPr>
          <w:p>
            <w:r/>
            <w:r>
              <w:t>Impugned action</w:t>
            </w:r>
          </w:p>
        </w:tc>
        <w:tc>
          <w:tcPr>
            <w:tcW w:type="dxa" w:w="3120"/>
          </w:tcPr>
          <w:p>
            <w:r/>
            <w:r>
              <w:t>Detention and drawal of samples on 07.08.2026</w:t>
            </w:r>
          </w:p>
        </w:tc>
        <w:tc>
          <w:tcPr>
            <w:tcW w:type="dxa" w:w="3120"/>
          </w:tcPr>
          <w:p>
            <w:r/>
            <w:r>
              <w:t>Detention and drawal of samples on 10.08.2026; statement of Shri A. Krishnesh Raja under s.108; summons dated 10.08.2026</w:t>
            </w:r>
          </w:p>
        </w:tc>
      </w:tr>
      <w:tr>
        <w:tc>
          <w:tcPr>
            <w:tcW w:type="dxa" w:w="3120"/>
          </w:tcPr>
          <w:p>
            <w:r/>
            <w:r>
              <w:t>SEZ Act s.22 available?</w:t>
            </w:r>
          </w:p>
        </w:tc>
        <w:tc>
          <w:tcPr>
            <w:tcW w:type="dxa" w:w="3120"/>
          </w:tcPr>
          <w:p>
            <w:r/>
            <w:r>
              <w:t>No — nothing was done inside the Zone or the Unit</w:t>
            </w:r>
          </w:p>
        </w:tc>
        <w:tc>
          <w:tcPr>
            <w:tcW w:type="dxa" w:w="3120"/>
          </w:tcPr>
          <w:p>
            <w:r/>
            <w:r>
              <w:t>Yes — the action was inside the Zone and inside the Unit</w:t>
            </w:r>
          </w:p>
        </w:tc>
      </w:tr>
      <w:tr>
        <w:tc>
          <w:tcPr>
            <w:tcW w:type="dxa" w:w="3120"/>
          </w:tcPr>
          <w:p>
            <w:r/>
            <w:r>
              <w:t>Writ</w:t>
            </w:r>
          </w:p>
        </w:tc>
        <w:tc>
          <w:tcPr>
            <w:tcW w:type="dxa" w:w="3120"/>
          </w:tcPr>
          <w:p>
            <w:r/>
            <w:r>
              <w:t>Writ No. 1 (ACC SIIB)</w:t>
            </w:r>
          </w:p>
        </w:tc>
        <w:tc>
          <w:tcPr>
            <w:tcW w:type="dxa" w:w="3120"/>
          </w:tcPr>
          <w:p>
            <w:r/>
            <w:r>
              <w:t>Writ No. 2 (SIIB, Chennai-III Preventive)</w:t>
            </w:r>
          </w:p>
        </w:tc>
      </w:tr>
    </w:tbl>
    <w:p/>
    <w:p>
      <w:pPr>
        <w:jc w:val="both"/>
      </w:pPr>
      <w:r>
        <w:t>The distinction matters only for the SEZ Act grounds. Every other ground (no written detention or seizure order, no grounds of belief, no mahazar, no sampling memo, breach of the MEPZ SOP, an assessed Z-BoE nullified by an officer with no power to do so, Article 14 on 18 prior identical clearances) applies to both.</w:t>
      </w:r>
    </w:p>
    <w:p>
      <w:pPr>
        <w:pStyle w:val="Heading3"/>
      </w:pPr>
      <w:r>
        <w:t>Letter of Approval (unit's charter) [Verified — original read]</w:t>
      </w:r>
    </w:p>
    <w:tbl>
      <w:tblPr>
        <w:tblStyle w:val="TableGrid"/>
        <w:tblW w:type="auto" w:w="0"/>
        <w:tblLook w:firstColumn="1" w:firstRow="1" w:lastColumn="0" w:lastRow="0" w:noHBand="0" w:noVBand="1" w:val="04A0"/>
      </w:tblPr>
      <w:tblGrid>
        <w:gridCol w:w="4680"/>
        <w:gridCol w:w="4680"/>
      </w:tblGrid>
      <w:tr>
        <w:tc>
          <w:tcPr>
            <w:tcW w:type="dxa" w:w="4680"/>
          </w:tcPr>
          <w:p>
            <w:r>
              <w:rPr>
                <w:b/>
              </w:rPr>
            </w:r>
            <w:r>
              <w:rPr>
                <w:b/>
              </w:rPr>
              <w:t>Item</w:t>
            </w:r>
          </w:p>
        </w:tc>
        <w:tc>
          <w:tcPr>
            <w:tcW w:type="dxa" w:w="4680"/>
          </w:tcPr>
          <w:p>
            <w:r>
              <w:rPr>
                <w:b/>
              </w:rPr>
            </w:r>
            <w:r>
              <w:rPr>
                <w:b/>
              </w:rPr>
              <w:t>Particulars</w:t>
            </w:r>
          </w:p>
        </w:tc>
      </w:tr>
      <w:tr>
        <w:tc>
          <w:tcPr>
            <w:tcW w:type="dxa" w:w="4680"/>
          </w:tcPr>
          <w:p>
            <w:r/>
            <w:r>
              <w:t>Reference</w:t>
            </w:r>
          </w:p>
        </w:tc>
        <w:tc>
          <w:tcPr>
            <w:tcW w:type="dxa" w:w="4680"/>
          </w:tcPr>
          <w:p>
            <w:r/>
            <w:r>
              <w:t>F.No. 08/45/2025-NDR FTWZ-SEZ dated 22.10.2025, Office of the Development Commissioner, MEPZ SEZ, Tambaram, Chennai-600045</w:t>
            </w:r>
          </w:p>
        </w:tc>
      </w:tr>
      <w:tr>
        <w:tc>
          <w:tcPr>
            <w:tcW w:type="dxa" w:w="4680"/>
          </w:tcPr>
          <w:p>
            <w:r/>
            <w:r>
              <w:t>Issued by</w:t>
            </w:r>
          </w:p>
        </w:tc>
        <w:tc>
          <w:tcPr>
            <w:tcW w:type="dxa" w:w="4680"/>
          </w:tcPr>
          <w:p>
            <w:r/>
            <w:r>
              <w:t>Alex Paul Menon, IAS, Development Commissioner, on the decision of the Unit Approval Committee (2025-2026 Series) meeting held on 22.10.2025</w:t>
            </w:r>
          </w:p>
        </w:tc>
      </w:tr>
      <w:tr>
        <w:tc>
          <w:tcPr>
            <w:tcW w:type="dxa" w:w="4680"/>
          </w:tcPr>
          <w:p>
            <w:r/>
            <w:r>
              <w:t>Applications</w:t>
            </w:r>
          </w:p>
        </w:tc>
        <w:tc>
          <w:tcPr>
            <w:tcW w:type="dxa" w:w="4680"/>
          </w:tcPr>
          <w:p>
            <w:r/>
            <w:r>
              <w:t>Petitioner's applications dated 04.08.2025 and 08.10.2025</w:t>
            </w:r>
          </w:p>
        </w:tc>
      </w:tr>
      <w:tr>
        <w:tc>
          <w:tcPr>
            <w:tcW w:type="dxa" w:w="4680"/>
          </w:tcPr>
          <w:p>
            <w:r/>
            <w:r>
              <w:t>Unit</w:t>
            </w:r>
          </w:p>
        </w:tc>
        <w:tc>
          <w:tcPr>
            <w:tcW w:type="dxa" w:w="4680"/>
          </w:tcPr>
          <w:p>
            <w:r/>
            <w:r>
              <w:t>Warehouse No.12, Part-G, NDR Free Trade Warehousing Zone, Nandiambakkam Port Road, Nandiambakkam Village, Minjur Panchayat, Tiruvallur District</w:t>
            </w:r>
          </w:p>
        </w:tc>
      </w:tr>
      <w:tr>
        <w:tc>
          <w:tcPr>
            <w:tcW w:type="dxa" w:w="4680"/>
          </w:tcPr>
          <w:p>
            <w:r/>
            <w:r>
              <w:t>Authorised operations</w:t>
            </w:r>
          </w:p>
        </w:tc>
        <w:tc>
          <w:tcPr>
            <w:tcW w:type="dxa" w:w="4680"/>
          </w:tcPr>
          <w:p>
            <w:r/>
            <w:r>
              <w:t>Manufacture: Nil. Services: "Warehousing and Logistics Service including Permissible Value Added Services under SEZ Act 2005 and SEZ Rules 2006"</w:t>
            </w:r>
          </w:p>
        </w:tc>
      </w:tr>
      <w:tr>
        <w:tc>
          <w:tcPr>
            <w:tcW w:type="dxa" w:w="4680"/>
          </w:tcPr>
          <w:p>
            <w:r/>
            <w:r>
              <w:t>Condition (iv)</w:t>
            </w:r>
          </w:p>
        </w:tc>
        <w:tc>
          <w:tcPr>
            <w:tcW w:type="dxa" w:w="4680"/>
          </w:tcPr>
          <w:p>
            <w:r/>
            <w:r>
              <w:t>May "import or procure from the Domestic Tariff Area all the items required for your authorized operations under this approval, except those prohibited under the ITC (HS) Classifications of Export and import items"</w:t>
            </w:r>
          </w:p>
        </w:tc>
      </w:tr>
      <w:tr>
        <w:tc>
          <w:tcPr>
            <w:tcW w:type="dxa" w:w="4680"/>
          </w:tcPr>
          <w:p>
            <w:r/>
            <w:r>
              <w:t>Condition (i)</w:t>
            </w:r>
          </w:p>
        </w:tc>
        <w:tc>
          <w:tcPr>
            <w:tcW w:type="dxa" w:w="4680"/>
          </w:tcPr>
          <w:p>
            <w:r/>
            <w:r>
              <w:t>Bond-cum-Legal Undertaking to be executed under the SEZ Rules, 2006</w:t>
            </w:r>
          </w:p>
        </w:tc>
      </w:tr>
      <w:tr>
        <w:tc>
          <w:tcPr>
            <w:tcW w:type="dxa" w:w="4680"/>
          </w:tcPr>
          <w:p>
            <w:r/>
            <w:r>
              <w:t>Condition (vi)/(viii)</w:t>
            </w:r>
          </w:p>
        </w:tc>
        <w:tc>
          <w:tcPr>
            <w:tcW w:type="dxa" w:w="4680"/>
          </w:tcPr>
          <w:p>
            <w:r/>
            <w:r>
              <w:t>Valid one year from issue for implementation; valid five years from commencement of production</w:t>
            </w:r>
          </w:p>
        </w:tc>
      </w:tr>
      <w:tr>
        <w:tc>
          <w:tcPr>
            <w:tcW w:type="dxa" w:w="4680"/>
          </w:tcPr>
          <w:p>
            <w:r/>
            <w:r>
              <w:t>Endorsed to</w:t>
            </w:r>
          </w:p>
        </w:tc>
        <w:tc>
          <w:tcPr>
            <w:tcW w:type="dxa" w:w="4680"/>
          </w:tcPr>
          <w:p>
            <w:r/>
            <w:r>
              <w:t>(1) The Specified Officer, Chennai-IV; (2) The Authorised Officer, NDR Infrastructure FTWZ, Ponneri, Tiruvallur District; (3) The Developer, NDR Infrastructure FTWZ</w:t>
            </w:r>
          </w:p>
        </w:tc>
      </w:tr>
    </w:tbl>
    <w:p/>
    <w:p>
      <w:pPr>
        <w:jc w:val="both"/>
      </w:pPr>
      <w:r>
        <w:t xml:space="preserve">Pleading value: the endorsement is to the Specified Officer, </w:t>
      </w:r>
      <w:r>
        <w:rPr>
          <w:b/>
        </w:rPr>
        <w:t>Chennai-IV</w:t>
      </w:r>
      <w:r>
        <w:t xml:space="preserve">, and to the Zone's Authorised Officer — not to the Chennai-III (Preventive) Commissionerate. That supports the ground that the officers who entered the Unit on 10.08.2026 are not the officers to whom the SEZ Act and Rules (and the MEPZ SOP) commit examination, sampling and supervision of the Unit's imports. It is a </w:t>
      </w:r>
      <w:r>
        <w:rPr>
          <w:i/>
        </w:rPr>
        <w:t>competence and compliance</w:t>
      </w:r>
      <w:r>
        <w:t xml:space="preserve"> argument, not an absolute bar (see </w:t>
      </w:r>
      <w:r>
        <w:rPr>
          <w:i/>
        </w:rPr>
        <w:t>RHC Global</w:t>
      </w:r>
      <w:r>
        <w:t>).</w:t>
      </w:r>
    </w:p>
    <w:p>
      <w:pPr>
        <w:pStyle w:val="Heading2"/>
      </w:pPr>
      <w:r>
        <w:t>PART II — CONSTITUTION AND CUSTOMS ACT, 1962</w:t>
      </w:r>
    </w:p>
    <w:tbl>
      <w:tblPr>
        <w:tblStyle w:val="TableGrid"/>
        <w:tblW w:type="auto" w:w="0"/>
        <w:tblLook w:firstColumn="1" w:firstRow="1" w:lastColumn="0" w:lastRow="0" w:noHBand="0" w:noVBand="1" w:val="04A0"/>
      </w:tblPr>
      <w:tblGrid>
        <w:gridCol w:w="4680"/>
        <w:gridCol w:w="4680"/>
      </w:tblGrid>
      <w:tr>
        <w:tc>
          <w:tcPr>
            <w:tcW w:type="dxa" w:w="4680"/>
          </w:tcPr>
          <w:p>
            <w:r>
              <w:rPr>
                <w:b/>
              </w:rPr>
            </w:r>
            <w:r>
              <w:rPr>
                <w:b/>
              </w:rPr>
              <w:t>Provision</w:t>
            </w:r>
          </w:p>
        </w:tc>
        <w:tc>
          <w:tcPr>
            <w:tcW w:type="dxa" w:w="4680"/>
          </w:tcPr>
          <w:p>
            <w:r>
              <w:rPr>
                <w:b/>
              </w:rPr>
            </w:r>
            <w:r>
              <w:rPr>
                <w:b/>
              </w:rPr>
              <w:t>Relevance</w:t>
            </w:r>
          </w:p>
        </w:tc>
      </w:tr>
      <w:tr>
        <w:tc>
          <w:tcPr>
            <w:tcW w:type="dxa" w:w="4680"/>
          </w:tcPr>
          <w:p>
            <w:r/>
            <w:r>
              <w:t>Articles 14, 19(1)(g), 226, 300A</w:t>
            </w:r>
          </w:p>
        </w:tc>
        <w:tc>
          <w:tcPr>
            <w:tcW w:type="dxa" w:w="4680"/>
          </w:tcPr>
          <w:p>
            <w:r/>
            <w:r>
              <w:t>Discrimination against 18 identical prior clearances; interference with trade; deprivation of Rs. 8.32 crore of goods otherwise than by authority of law</w:t>
            </w:r>
          </w:p>
        </w:tc>
      </w:tr>
      <w:tr>
        <w:tc>
          <w:tcPr>
            <w:tcW w:type="dxa" w:w="4680"/>
          </w:tcPr>
          <w:p>
            <w:r/>
            <w:r>
              <w:t>s.2(34)</w:t>
            </w:r>
          </w:p>
        </w:tc>
        <w:tc>
          <w:tcPr>
            <w:tcW w:type="dxa" w:w="4680"/>
          </w:tcPr>
          <w:p>
            <w:r/>
            <w:r>
              <w:t>"Proper officer" — only the officer to whom the function is assigned may exercise it; SIIB is an intelligence/investigation wing</w:t>
            </w:r>
          </w:p>
        </w:tc>
      </w:tr>
      <w:tr>
        <w:tc>
          <w:tcPr>
            <w:tcW w:type="dxa" w:w="4680"/>
          </w:tcPr>
          <w:p>
            <w:r/>
            <w:r>
              <w:t>s.5(1A)/(1B), s.110AA (Finance Act, 2022)</w:t>
            </w:r>
          </w:p>
        </w:tc>
        <w:tc>
          <w:tcPr>
            <w:tcW w:type="dxa" w:w="4680"/>
          </w:tcPr>
          <w:p>
            <w:r/>
            <w:r>
              <w:t xml:space="preserve">Assignment of functions to officers of customs; post-inquiry action must be taken by the officer competent for the function </w:t>
            </w:r>
            <w:r>
              <w:rPr>
                <w:b/>
              </w:rPr>
              <w:t>[To verify — check applicability to these facts]</w:t>
            </w:r>
          </w:p>
        </w:tc>
      </w:tr>
      <w:tr>
        <w:tc>
          <w:tcPr>
            <w:tcW w:type="dxa" w:w="4680"/>
          </w:tcPr>
          <w:p>
            <w:r/>
            <w:r>
              <w:t>s.17(4) and (5)</w:t>
            </w:r>
          </w:p>
        </w:tc>
        <w:tc>
          <w:tcPr>
            <w:tcW w:type="dxa" w:w="4680"/>
          </w:tcPr>
          <w:p>
            <w:r/>
            <w:r>
              <w:t>Re-assessment, with a speaking order — the only route to disturb an assessment</w:t>
            </w:r>
          </w:p>
        </w:tc>
      </w:tr>
      <w:tr>
        <w:tc>
          <w:tcPr>
            <w:tcW w:type="dxa" w:w="4680"/>
          </w:tcPr>
          <w:p>
            <w:r/>
            <w:r>
              <w:t>s.18</w:t>
            </w:r>
          </w:p>
        </w:tc>
        <w:tc>
          <w:tcPr>
            <w:tcW w:type="dxa" w:w="4680"/>
          </w:tcPr>
          <w:p>
            <w:r/>
            <w:r>
              <w:t>Provisional assessment</w:t>
            </w:r>
          </w:p>
        </w:tc>
      </w:tr>
      <w:tr>
        <w:tc>
          <w:tcPr>
            <w:tcW w:type="dxa" w:w="4680"/>
          </w:tcPr>
          <w:p>
            <w:r/>
            <w:r>
              <w:t>s.45</w:t>
            </w:r>
          </w:p>
        </w:tc>
        <w:tc>
          <w:tcPr>
            <w:tcW w:type="dxa" w:w="4680"/>
          </w:tcPr>
          <w:p>
            <w:r/>
            <w:r>
              <w:t>Custody of imported goods with the custodian; goods not to be removed except as permitted</w:t>
            </w:r>
          </w:p>
        </w:tc>
      </w:tr>
      <w:tr>
        <w:tc>
          <w:tcPr>
            <w:tcW w:type="dxa" w:w="4680"/>
          </w:tcPr>
          <w:p>
            <w:r/>
            <w:r>
              <w:t>s.47 / s.48</w:t>
            </w:r>
          </w:p>
        </w:tc>
        <w:tc>
          <w:tcPr>
            <w:tcW w:type="dxa" w:w="4680"/>
          </w:tcPr>
          <w:p>
            <w:r/>
            <w:r>
              <w:t>Clearance for home consumption; goods not cleared within 30 days</w:t>
            </w:r>
          </w:p>
        </w:tc>
      </w:tr>
      <w:tr>
        <w:tc>
          <w:tcPr>
            <w:tcW w:type="dxa" w:w="4680"/>
          </w:tcPr>
          <w:p>
            <w:r/>
            <w:r>
              <w:t>s.49 (as substituted by s.102, Finance Act, 2017)</w:t>
            </w:r>
          </w:p>
        </w:tc>
        <w:tc>
          <w:tcPr>
            <w:tcW w:type="dxa" w:w="4680"/>
          </w:tcPr>
          <w:p>
            <w:r/>
            <w:r>
              <w:t xml:space="preserve">Storage of imported goods in a </w:t>
            </w:r>
            <w:r>
              <w:rPr>
                <w:b/>
              </w:rPr>
              <w:t>public</w:t>
            </w:r>
            <w:r>
              <w:t xml:space="preserve"> warehouse pending clearance or removal, on the importer's application, for 30 days, extendable by the Pr. Commissioner/Commissioner "for a further period not exceeding thirty days at a time"; Chapter IX does not apply. The only lawful way to hold goods that cannot be cleared at once</w:t>
            </w:r>
          </w:p>
        </w:tc>
      </w:tr>
      <w:tr>
        <w:tc>
          <w:tcPr>
            <w:tcW w:type="dxa" w:w="4680"/>
          </w:tcPr>
          <w:p>
            <w:r/>
            <w:r>
              <w:t>s.108</w:t>
            </w:r>
          </w:p>
        </w:tc>
        <w:tc>
          <w:tcPr>
            <w:tcW w:type="dxa" w:w="4680"/>
          </w:tcPr>
          <w:p>
            <w:r/>
            <w:r>
              <w:t>Power to summon persons to give evidence and produce documents</w:t>
            </w:r>
          </w:p>
        </w:tc>
      </w:tr>
      <w:tr>
        <w:tc>
          <w:tcPr>
            <w:tcW w:type="dxa" w:w="4680"/>
          </w:tcPr>
          <w:p>
            <w:r/>
            <w:r>
              <w:t>s.110</w:t>
            </w:r>
          </w:p>
        </w:tc>
        <w:tc>
          <w:tcPr>
            <w:tcW w:type="dxa" w:w="4680"/>
          </w:tcPr>
          <w:p>
            <w:r/>
            <w:r>
              <w:t xml:space="preserve">Seizure — the </w:t>
            </w:r>
            <w:r>
              <w:rPr>
                <w:b/>
              </w:rPr>
              <w:t>only</w:t>
            </w:r>
            <w:r>
              <w:t xml:space="preserve"> power to withhold goods; requires reason to believe that the goods are liable to confiscation</w:t>
            </w:r>
          </w:p>
        </w:tc>
      </w:tr>
      <w:tr>
        <w:tc>
          <w:tcPr>
            <w:tcW w:type="dxa" w:w="4680"/>
          </w:tcPr>
          <w:p>
            <w:r/>
            <w:r>
              <w:t>s.110(2)</w:t>
            </w:r>
          </w:p>
        </w:tc>
        <w:tc>
          <w:tcPr>
            <w:tcW w:type="dxa" w:w="4680"/>
          </w:tcPr>
          <w:p>
            <w:r/>
            <w:r>
              <w:t>Notice under s.124 within six months of seizure, extendable once</w:t>
            </w:r>
          </w:p>
        </w:tc>
      </w:tr>
      <w:tr>
        <w:tc>
          <w:tcPr>
            <w:tcW w:type="dxa" w:w="4680"/>
          </w:tcPr>
          <w:p>
            <w:r/>
            <w:r>
              <w:t>s.110A</w:t>
            </w:r>
          </w:p>
        </w:tc>
        <w:tc>
          <w:tcPr>
            <w:tcW w:type="dxa" w:w="4680"/>
          </w:tcPr>
          <w:p>
            <w:r/>
            <w:r>
              <w:t>Provisional release pending adjudication — the practical relief the Madras High Court grants</w:t>
            </w:r>
          </w:p>
        </w:tc>
      </w:tr>
      <w:tr>
        <w:tc>
          <w:tcPr>
            <w:tcW w:type="dxa" w:w="4680"/>
          </w:tcPr>
          <w:p>
            <w:r/>
            <w:r>
              <w:t>s.124</w:t>
            </w:r>
          </w:p>
        </w:tc>
        <w:tc>
          <w:tcPr>
            <w:tcW w:type="dxa" w:w="4680"/>
          </w:tcPr>
          <w:p>
            <w:r/>
            <w:r>
              <w:t>Show cause notice before confiscation or penalty</w:t>
            </w:r>
          </w:p>
        </w:tc>
      </w:tr>
      <w:tr>
        <w:tc>
          <w:tcPr>
            <w:tcW w:type="dxa" w:w="4680"/>
          </w:tcPr>
          <w:p>
            <w:r/>
            <w:r>
              <w:t>s.144</w:t>
            </w:r>
          </w:p>
        </w:tc>
        <w:tc>
          <w:tcPr>
            <w:tcW w:type="dxa" w:w="4680"/>
          </w:tcPr>
          <w:p>
            <w:r/>
            <w:r>
              <w:t xml:space="preserve">Power to take samples — </w:t>
            </w:r>
            <w:r>
              <w:rPr>
                <w:b/>
              </w:rPr>
              <w:t>on receipt</w:t>
            </w:r>
            <w:r>
              <w:t xml:space="preserve"> being given for the sample taken</w:t>
            </w:r>
          </w:p>
        </w:tc>
      </w:tr>
      <w:tr>
        <w:tc>
          <w:tcPr>
            <w:tcW w:type="dxa" w:w="4680"/>
          </w:tcPr>
          <w:p>
            <w:r/>
            <w:r>
              <w:t>s.157</w:t>
            </w:r>
          </w:p>
        </w:tc>
        <w:tc>
          <w:tcPr>
            <w:tcW w:type="dxa" w:w="4680"/>
          </w:tcPr>
          <w:p>
            <w:r/>
            <w:r>
              <w:t>Regulation-making power (source of the Bill of Entry Regulations, 2018)</w:t>
            </w:r>
          </w:p>
        </w:tc>
      </w:tr>
    </w:tbl>
    <w:p/>
    <w:p>
      <w:pPr>
        <w:jc w:val="both"/>
      </w:pPr>
      <w:r>
        <w:t xml:space="preserve">The Customs Act contains </w:t>
      </w:r>
      <w:r>
        <w:rPr>
          <w:b/>
        </w:rPr>
        <w:t>no power of "detention"</w:t>
      </w:r>
      <w:r>
        <w:t xml:space="preserve"> of imported goods as a category distinct from seizure under s.110 or lawful custody under s.45/s.49. That is the doctrinal centre of both petitions.</w:t>
      </w:r>
    </w:p>
    <w:p>
      <w:pPr>
        <w:pStyle w:val="Heading2"/>
      </w:pPr>
      <w:r>
        <w:t>PART III — SEZ ACT, 2005 AND SEZ RULES, 2006</w:t>
      </w:r>
    </w:p>
    <w:p>
      <w:pPr>
        <w:pStyle w:val="Heading3"/>
      </w:pPr>
      <w:r>
        <w:t>A. SEZ Act, 2005</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r>
              <w:rPr>
                <w:b/>
              </w:rPr>
              <w:t>Provision</w:t>
            </w:r>
          </w:p>
        </w:tc>
        <w:tc>
          <w:tcPr>
            <w:tcW w:type="dxa" w:w="3120"/>
          </w:tcPr>
          <w:p>
            <w:r>
              <w:rPr>
                <w:b/>
              </w:rPr>
            </w:r>
            <w:r>
              <w:rPr>
                <w:b/>
              </w:rPr>
              <w:t>Text / effect</w:t>
            </w:r>
          </w:p>
        </w:tc>
        <w:tc>
          <w:tcPr>
            <w:tcW w:type="dxa" w:w="3120"/>
          </w:tcPr>
          <w:p>
            <w:r>
              <w:rPr>
                <w:b/>
              </w:rPr>
            </w:r>
            <w:r>
              <w:rPr>
                <w:b/>
              </w:rPr>
              <w:t>Status</w:t>
            </w:r>
          </w:p>
        </w:tc>
      </w:tr>
      <w:tr>
        <w:tc>
          <w:tcPr>
            <w:tcW w:type="dxa" w:w="3120"/>
          </w:tcPr>
          <w:p>
            <w:r/>
            <w:r>
              <w:t>s.20</w:t>
            </w:r>
          </w:p>
        </w:tc>
        <w:tc>
          <w:tcPr>
            <w:tcW w:type="dxa" w:w="3120"/>
          </w:tcPr>
          <w:p>
            <w:r/>
            <w:r>
              <w:t>Central Government may specify agencies/officers for carrying out surveys, verifications and inspections in a SEZ</w:t>
            </w:r>
          </w:p>
        </w:tc>
        <w:tc>
          <w:tcPr>
            <w:tcW w:type="dxa" w:w="3120"/>
          </w:tcPr>
          <w:p>
            <w:r/>
            <w:r>
              <w:rPr>
                <w:b/>
              </w:rPr>
              <w:t>[Verified]</w:t>
            </w:r>
          </w:p>
        </w:tc>
      </w:tr>
      <w:tr>
        <w:tc>
          <w:tcPr>
            <w:tcW w:type="dxa" w:w="3120"/>
          </w:tcPr>
          <w:p>
            <w:r/>
            <w:r>
              <w:t>s.21</w:t>
            </w:r>
          </w:p>
        </w:tc>
        <w:tc>
          <w:tcPr>
            <w:tcW w:type="dxa" w:w="3120"/>
          </w:tcPr>
          <w:p>
            <w:r/>
            <w:r>
              <w:t>Single enforcement officer/agency for notified offences; specification of investigating agencies</w:t>
            </w:r>
          </w:p>
        </w:tc>
        <w:tc>
          <w:tcPr>
            <w:tcW w:type="dxa" w:w="3120"/>
          </w:tcPr>
          <w:p>
            <w:r/>
            <w:r>
              <w:rPr>
                <w:b/>
              </w:rPr>
              <w:t>[Verified]</w:t>
            </w:r>
          </w:p>
        </w:tc>
      </w:tr>
      <w:tr>
        <w:tc>
          <w:tcPr>
            <w:tcW w:type="dxa" w:w="3120"/>
          </w:tcPr>
          <w:p>
            <w:r/>
            <w:r>
              <w:t>s.22</w:t>
            </w:r>
          </w:p>
        </w:tc>
        <w:tc>
          <w:tcPr>
            <w:tcW w:type="dxa" w:w="3120"/>
          </w:tcPr>
          <w:p>
            <w:r/>
            <w:r>
              <w:t xml:space="preserve">Investigation, inspection, search or seizure </w:t>
            </w:r>
            <w:r>
              <w:rPr>
                <w:b/>
              </w:rPr>
              <w:t>in</w:t>
            </w:r>
            <w:r>
              <w:t xml:space="preserve"> a SEZ or </w:t>
            </w:r>
            <w:r>
              <w:rPr>
                <w:b/>
              </w:rPr>
              <w:t>in</w:t>
            </w:r>
            <w:r>
              <w:t xml:space="preserve"> a Unit only by an agency/officer specified under s.20 or s.21, </w:t>
            </w:r>
            <w:r>
              <w:rPr>
                <w:b/>
              </w:rPr>
              <w:t>with prior intimation to the Development Commissioner</w:t>
            </w:r>
            <w:r>
              <w:t xml:space="preserve">, and only on </w:t>
            </w:r>
            <w:r>
              <w:rPr>
                <w:b/>
              </w:rPr>
              <w:t>reasons recorded in writing</w:t>
            </w:r>
            <w:r>
              <w:t xml:space="preserve"> that a notified offence has been or is likely to be committed; first proviso — no such action by any other agency/officer without </w:t>
            </w:r>
            <w:r>
              <w:rPr>
                <w:b/>
              </w:rPr>
              <w:t>prior approval of the Development Commissioner</w:t>
            </w:r>
            <w:r>
              <w:t>; second proviso — an officer authorised by the Central Government may act without prior intimation or approval</w:t>
            </w:r>
          </w:p>
        </w:tc>
        <w:tc>
          <w:tcPr>
            <w:tcW w:type="dxa" w:w="3120"/>
          </w:tcPr>
          <w:p>
            <w:r/>
            <w:r>
              <w:rPr>
                <w:b/>
              </w:rPr>
              <w:t>[Verified]</w:t>
            </w:r>
          </w:p>
        </w:tc>
      </w:tr>
      <w:tr>
        <w:tc>
          <w:tcPr>
            <w:tcW w:type="dxa" w:w="3120"/>
          </w:tcPr>
          <w:p>
            <w:r/>
            <w:r>
              <w:t>s.51</w:t>
            </w:r>
          </w:p>
        </w:tc>
        <w:tc>
          <w:tcPr>
            <w:tcW w:type="dxa" w:w="3120"/>
          </w:tcPr>
          <w:p>
            <w:r/>
            <w:r>
              <w:t>Overriding effect of the SEZ Act over anything inconsistent in any other law</w:t>
            </w:r>
          </w:p>
        </w:tc>
        <w:tc>
          <w:tcPr>
            <w:tcW w:type="dxa" w:w="3120"/>
          </w:tcPr>
          <w:p>
            <w:r/>
            <w:r>
              <w:rPr>
                <w:b/>
              </w:rPr>
              <w:t>[Verified]</w:t>
            </w:r>
          </w:p>
        </w:tc>
      </w:tr>
      <w:tr>
        <w:tc>
          <w:tcPr>
            <w:tcW w:type="dxa" w:w="3120"/>
          </w:tcPr>
          <w:p>
            <w:r/>
            <w:r>
              <w:t>s.53(1)</w:t>
            </w:r>
          </w:p>
        </w:tc>
        <w:tc>
          <w:tcPr>
            <w:tcW w:type="dxa" w:w="3120"/>
          </w:tcPr>
          <w:p>
            <w:r/>
            <w:r>
              <w:t xml:space="preserve">A SEZ is deemed to be a territory </w:t>
            </w:r>
            <w:r>
              <w:rPr>
                <w:b/>
              </w:rPr>
              <w:t>outside the customs territory of India</w:t>
            </w:r>
            <w:r>
              <w:t xml:space="preserve"> for the purposes of undertaking authorised operations</w:t>
            </w:r>
          </w:p>
        </w:tc>
        <w:tc>
          <w:tcPr>
            <w:tcW w:type="dxa" w:w="3120"/>
          </w:tcPr>
          <w:p>
            <w:r/>
            <w:r>
              <w:rPr>
                <w:b/>
              </w:rPr>
              <w:t>[Verified]</w:t>
            </w:r>
          </w:p>
        </w:tc>
      </w:tr>
      <w:tr>
        <w:tc>
          <w:tcPr>
            <w:tcW w:type="dxa" w:w="3120"/>
          </w:tcPr>
          <w:p>
            <w:r/>
            <w:r>
              <w:t>s.26</w:t>
            </w:r>
          </w:p>
        </w:tc>
        <w:tc>
          <w:tcPr>
            <w:tcW w:type="dxa" w:w="3120"/>
          </w:tcPr>
          <w:p>
            <w:r/>
            <w:r>
              <w:t>Duty exemptions on goods imported into a SEZ or a Unit</w:t>
            </w:r>
          </w:p>
        </w:tc>
        <w:tc>
          <w:tcPr>
            <w:tcW w:type="dxa" w:w="3120"/>
          </w:tcPr>
          <w:p>
            <w:r/>
            <w:r>
              <w:rPr>
                <w:b/>
              </w:rPr>
              <w:t>[Verified]</w:t>
            </w:r>
          </w:p>
        </w:tc>
      </w:tr>
    </w:tbl>
    <w:p/>
    <w:p>
      <w:pPr>
        <w:jc w:val="both"/>
      </w:pPr>
      <w:r>
        <w:t xml:space="preserve">Note on the width of the s.22 plea: s.22 is </w:t>
      </w:r>
      <w:r>
        <w:rPr>
          <w:b/>
        </w:rPr>
        <w:t>territorial</w:t>
      </w:r>
      <w:r>
        <w:t xml:space="preserve"> — it governs action "in a Special Economic Zone or in a Unit". It therefore has no application to Consignment A, which never left the Air Cargo Complex, and full application to Consignment B.</w:t>
      </w:r>
    </w:p>
    <w:p>
      <w:pPr>
        <w:pStyle w:val="Heading3"/>
      </w:pPr>
      <w:r>
        <w:t>B. SEZ Rules, 2006</w:t>
      </w:r>
    </w:p>
    <w:tbl>
      <w:tblPr>
        <w:tblStyle w:val="TableGrid"/>
        <w:tblW w:type="auto" w:w="0"/>
        <w:tblLook w:firstColumn="1" w:firstRow="1" w:lastColumn="0" w:lastRow="0" w:noHBand="0" w:noVBand="1" w:val="04A0"/>
      </w:tblPr>
      <w:tblGrid>
        <w:gridCol w:w="4680"/>
        <w:gridCol w:w="4680"/>
      </w:tblGrid>
      <w:tr>
        <w:tc>
          <w:tcPr>
            <w:tcW w:type="dxa" w:w="4680"/>
          </w:tcPr>
          <w:p>
            <w:r>
              <w:rPr>
                <w:b/>
              </w:rPr>
            </w:r>
            <w:r>
              <w:rPr>
                <w:b/>
              </w:rPr>
              <w:t>Rule</w:t>
            </w:r>
          </w:p>
        </w:tc>
        <w:tc>
          <w:tcPr>
            <w:tcW w:type="dxa" w:w="4680"/>
          </w:tcPr>
          <w:p>
            <w:r>
              <w:rPr>
                <w:b/>
              </w:rPr>
            </w:r>
            <w:r>
              <w:rPr>
                <w:b/>
              </w:rPr>
              <w:t>Effect</w:t>
            </w:r>
          </w:p>
        </w:tc>
      </w:tr>
      <w:tr>
        <w:tc>
          <w:tcPr>
            <w:tcW w:type="dxa" w:w="4680"/>
          </w:tcPr>
          <w:p>
            <w:r/>
            <w:r>
              <w:t>Rule 29</w:t>
            </w:r>
          </w:p>
        </w:tc>
        <w:tc>
          <w:tcPr>
            <w:tcW w:type="dxa" w:w="4680"/>
          </w:tcPr>
          <w:p>
            <w:r/>
            <w:r>
              <w:t xml:space="preserve">Procedure for import by a Unit: Bill of Entry for home consumption in quintuplicate with the stamped endorsement "Special Economic Zone Cargo", filed before the </w:t>
            </w:r>
            <w:r>
              <w:rPr>
                <w:b/>
              </w:rPr>
              <w:t>Authorised Officer</w:t>
            </w:r>
            <w:r>
              <w:t xml:space="preserve">, who registers it, assigns a running annual serial number and assesses it on the transaction value; </w:t>
            </w:r>
            <w:r>
              <w:rPr>
                <w:b/>
              </w:rPr>
              <w:t>Rule 29(2) — the assessed/endorsed Bill of Entry is itself the permission to transfer the goods to the Zone</w:t>
            </w:r>
            <w:r>
              <w:t>, and the assessment needs no counter-signature of the Specified Officer</w:t>
            </w:r>
          </w:p>
        </w:tc>
      </w:tr>
      <w:tr>
        <w:tc>
          <w:tcPr>
            <w:tcW w:type="dxa" w:w="4680"/>
          </w:tcPr>
          <w:p>
            <w:r/>
            <w:r>
              <w:t>Rule 27(10)</w:t>
            </w:r>
          </w:p>
        </w:tc>
        <w:tc>
          <w:tcPr>
            <w:tcW w:type="dxa" w:w="4680"/>
          </w:tcPr>
          <w:p>
            <w:r/>
            <w:r>
              <w:t>Assessment and inward/outward movement on the basis of the Unit's self-declaration</w:t>
            </w:r>
          </w:p>
        </w:tc>
      </w:tr>
      <w:tr>
        <w:tc>
          <w:tcPr>
            <w:tcW w:type="dxa" w:w="4680"/>
          </w:tcPr>
          <w:p>
            <w:r/>
            <w:r>
              <w:t>Rule 47(5) (inserted by G.S.R. 772(E) dated 08.08.2016)</w:t>
            </w:r>
          </w:p>
        </w:tc>
        <w:tc>
          <w:tcPr>
            <w:tcW w:type="dxa" w:w="4680"/>
          </w:tcPr>
          <w:p>
            <w:r/>
            <w:r>
              <w:t xml:space="preserve">Assessment, re-assessment and adjudication in relation to a Unit vest in the jurisdictional Customs authority in the prescribed manner </w:t>
            </w:r>
            <w:r>
              <w:rPr>
                <w:b/>
              </w:rPr>
              <w:t>[To verify — read the gazette text before citing]</w:t>
            </w:r>
          </w:p>
        </w:tc>
      </w:tr>
      <w:tr>
        <w:tc>
          <w:tcPr>
            <w:tcW w:type="dxa" w:w="4680"/>
          </w:tcPr>
          <w:p>
            <w:r/>
            <w:r>
              <w:t>Rule 75</w:t>
            </w:r>
          </w:p>
        </w:tc>
        <w:tc>
          <w:tcPr>
            <w:tcW w:type="dxa" w:w="4680"/>
          </w:tcPr>
          <w:p>
            <w:r/>
            <w:r>
              <w:t>Self-certification/self-declaration regime for SEZ transactions</w:t>
            </w:r>
          </w:p>
        </w:tc>
      </w:tr>
      <w:tr>
        <w:tc>
          <w:tcPr>
            <w:tcW w:type="dxa" w:w="4680"/>
          </w:tcPr>
          <w:p>
            <w:r/>
            <w:r>
              <w:t>Rule 79</w:t>
            </w:r>
          </w:p>
        </w:tc>
        <w:tc>
          <w:tcPr>
            <w:tcW w:type="dxa" w:w="4680"/>
          </w:tcPr>
          <w:p>
            <w:r/>
            <w:r>
              <w:t>Periodic audit of SEZ units by Customs officers</w:t>
            </w:r>
          </w:p>
        </w:tc>
      </w:tr>
    </w:tbl>
    <w:p/>
    <w:p>
      <w:pPr>
        <w:pStyle w:val="Heading3"/>
      </w:pPr>
      <w:r>
        <w:t>C. Ministry of Commerce (SEZ Division) notifications of 05.08.2016 — F.No. C.1/1/2009-SEZ</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r>
              <w:rPr>
                <w:b/>
              </w:rPr>
              <w:t>Instrument</w:t>
            </w:r>
          </w:p>
        </w:tc>
        <w:tc>
          <w:tcPr>
            <w:tcW w:type="dxa" w:w="3120"/>
          </w:tcPr>
          <w:p>
            <w:r>
              <w:rPr>
                <w:b/>
              </w:rPr>
            </w:r>
            <w:r>
              <w:rPr>
                <w:b/>
              </w:rPr>
              <w:t>Effect</w:t>
            </w:r>
          </w:p>
        </w:tc>
        <w:tc>
          <w:tcPr>
            <w:tcW w:type="dxa" w:w="3120"/>
          </w:tcPr>
          <w:p>
            <w:r>
              <w:rPr>
                <w:b/>
              </w:rPr>
            </w:r>
            <w:r>
              <w:rPr>
                <w:b/>
              </w:rPr>
              <w:t>Status</w:t>
            </w:r>
          </w:p>
        </w:tc>
      </w:tr>
      <w:tr>
        <w:tc>
          <w:tcPr>
            <w:tcW w:type="dxa" w:w="3120"/>
          </w:tcPr>
          <w:p>
            <w:r/>
            <w:r>
              <w:t>S.O. 2665(E) dated 05.08.2016</w:t>
            </w:r>
          </w:p>
        </w:tc>
        <w:tc>
          <w:tcPr>
            <w:tcW w:type="dxa" w:w="3120"/>
          </w:tcPr>
          <w:p>
            <w:r/>
            <w:r>
              <w:t>Specification of officers/agencies under ss.20/21</w:t>
            </w:r>
          </w:p>
        </w:tc>
        <w:tc>
          <w:tcPr>
            <w:tcW w:type="dxa" w:w="3120"/>
          </w:tcPr>
          <w:p>
            <w:r/>
            <w:r>
              <w:rPr>
                <w:b/>
              </w:rPr>
              <w:t>[To verify — cite only to the extent of the gazette text]</w:t>
            </w:r>
          </w:p>
        </w:tc>
      </w:tr>
      <w:tr>
        <w:tc>
          <w:tcPr>
            <w:tcW w:type="dxa" w:w="3120"/>
          </w:tcPr>
          <w:p>
            <w:r/>
            <w:r>
              <w:t>S.O. 2666(E) dated 05.08.2016</w:t>
            </w:r>
          </w:p>
        </w:tc>
        <w:tc>
          <w:tcPr>
            <w:tcW w:type="dxa" w:w="3120"/>
          </w:tcPr>
          <w:p>
            <w:r/>
            <w:r>
              <w:t xml:space="preserve">The </w:t>
            </w:r>
            <w:r>
              <w:rPr>
                <w:b/>
              </w:rPr>
              <w:t>Additional Director General, DRI</w:t>
            </w:r>
            <w:r>
              <w:t xml:space="preserve"> may act in a SEZ/Unit </w:t>
            </w:r>
            <w:r>
              <w:rPr>
                <w:b/>
              </w:rPr>
              <w:t>without prior intimation</w:t>
            </w:r>
            <w:r>
              <w:t>, on reasons recorded in writing, intimating the details to the Joint Secretary (SEZ), Department of Commerce within seven days</w:t>
            </w:r>
          </w:p>
        </w:tc>
        <w:tc>
          <w:tcPr>
            <w:tcW w:type="dxa" w:w="3120"/>
          </w:tcPr>
          <w:p>
            <w:r/>
            <w:r>
              <w:rPr>
                <w:b/>
              </w:rPr>
              <w:t>[To verify against gazette]</w:t>
            </w:r>
          </w:p>
        </w:tc>
      </w:tr>
      <w:tr>
        <w:tc>
          <w:tcPr>
            <w:tcW w:type="dxa" w:w="3120"/>
          </w:tcPr>
          <w:p>
            <w:r/>
            <w:r>
              <w:t>S.O. 2667(E) dated 05.08.2016</w:t>
            </w:r>
          </w:p>
        </w:tc>
        <w:tc>
          <w:tcPr>
            <w:tcW w:type="dxa" w:w="3120"/>
          </w:tcPr>
          <w:p>
            <w:r/>
            <w:r>
              <w:t xml:space="preserve">The </w:t>
            </w:r>
            <w:r>
              <w:rPr>
                <w:b/>
              </w:rPr>
              <w:t>jurisdictional Commissioner of Customs</w:t>
            </w:r>
            <w:r>
              <w:t xml:space="preserve"> may act in a SEZ/Unit for reasons recorded in writing and </w:t>
            </w:r>
            <w:r>
              <w:rPr>
                <w:b/>
              </w:rPr>
              <w:t>with prior intimation to the Development Commissioner</w:t>
            </w:r>
          </w:p>
        </w:tc>
        <w:tc>
          <w:tcPr>
            <w:tcW w:type="dxa" w:w="3120"/>
          </w:tcPr>
          <w:p>
            <w:r/>
            <w:r>
              <w:rPr>
                <w:b/>
              </w:rPr>
              <w:t>[To verify against gazette]</w:t>
            </w:r>
          </w:p>
        </w:tc>
      </w:tr>
    </w:tbl>
    <w:p/>
    <w:p>
      <w:pPr>
        <w:jc w:val="both"/>
      </w:pPr>
      <w:r>
        <w:t xml:space="preserve">Respondent No. 1 in Writ No. 2 (an Additional Commissioner heading SIIB) is neither the ADG, DRI nor the jurisdictional Commissioner. The plea to be taken is therefore </w:t>
      </w:r>
      <w:r>
        <w:rPr>
          <w:b/>
        </w:rPr>
        <w:t>compliance and production of the record</w:t>
      </w:r>
      <w:r>
        <w:t>, not an absolute bar.</w:t>
      </w:r>
    </w:p>
    <w:p>
      <w:pPr>
        <w:pStyle w:val="Heading3"/>
      </w:pPr>
      <w:r>
        <w:t>D. Department of Commerce instructions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r>
              <w:rPr>
                <w:b/>
              </w:rPr>
              <w:t>Instrument</w:t>
            </w:r>
          </w:p>
        </w:tc>
        <w:tc>
          <w:tcPr>
            <w:tcW w:type="dxa" w:w="3120"/>
          </w:tcPr>
          <w:p>
            <w:r>
              <w:rPr>
                <w:b/>
              </w:rPr>
            </w:r>
            <w:r>
              <w:rPr>
                <w:b/>
              </w:rPr>
              <w:t>Effect</w:t>
            </w:r>
          </w:p>
        </w:tc>
        <w:tc>
          <w:tcPr>
            <w:tcW w:type="dxa" w:w="3120"/>
          </w:tcPr>
          <w:p>
            <w:r>
              <w:rPr>
                <w:b/>
              </w:rPr>
            </w:r>
            <w:r>
              <w:rPr>
                <w:b/>
              </w:rPr>
              <w:t>Status</w:t>
            </w:r>
          </w:p>
        </w:tc>
      </w:tr>
      <w:tr>
        <w:tc>
          <w:tcPr>
            <w:tcW w:type="dxa" w:w="3120"/>
          </w:tcPr>
          <w:p>
            <w:r/>
            <w:r>
              <w:rPr>
                <w:b/>
              </w:rPr>
              <w:t>Instruction No. 117 dated 24.09.2024</w:t>
            </w:r>
            <w:r>
              <w:t>, K-43022/24/2024-SEZ — "Guidelines for Operational Framework of FTWZ and Warehousing units in SEZ"</w:t>
            </w:r>
          </w:p>
        </w:tc>
        <w:tc>
          <w:tcPr>
            <w:tcW w:type="dxa" w:w="3120"/>
          </w:tcPr>
          <w:p>
            <w:r/>
            <w:r>
              <w:t xml:space="preserve">KYC of unit clients before the first transaction; CCTV across all FTWZ facilities with </w:t>
            </w:r>
            <w:r>
              <w:rPr>
                <w:b/>
              </w:rPr>
              <w:t>one year</w:t>
            </w:r>
            <w:r>
              <w:t xml:space="preserve"> data retention accessible to the DC; tamper-proof ERP/SAP; </w:t>
            </w:r>
            <w:r>
              <w:rPr>
                <w:b/>
              </w:rPr>
              <w:t>"manual entries/processing of Customs clearances is strictly prohibited"</w:t>
            </w:r>
            <w:r>
              <w:t xml:space="preserve"> and cargo clearance </w:t>
            </w:r>
            <w:r>
              <w:rPr>
                <w:b/>
              </w:rPr>
              <w:t>only through designated modules</w:t>
            </w:r>
            <w:r>
              <w:t xml:space="preserve"> (SEZ-Online and ICEGATE being interlinked for trans-shipment); Customs officers to access NIDB while assessing cargo; periodic physical verification by DCs; audit of FTWZ units under Rule 79; watch list of high-risk commodities</w:t>
            </w:r>
          </w:p>
        </w:tc>
        <w:tc>
          <w:tcPr>
            <w:tcW w:type="dxa" w:w="3120"/>
          </w:tcPr>
          <w:p>
            <w:r/>
            <w:r>
              <w:rPr>
                <w:b/>
              </w:rPr>
              <w:t>[Verified — full text read]</w:t>
            </w:r>
          </w:p>
        </w:tc>
      </w:tr>
      <w:tr>
        <w:tc>
          <w:tcPr>
            <w:tcW w:type="dxa" w:w="3120"/>
          </w:tcPr>
          <w:p>
            <w:r/>
            <w:r>
              <w:t>Instruction No. 96</w:t>
            </w:r>
          </w:p>
        </w:tc>
        <w:tc>
          <w:tcPr>
            <w:tcW w:type="dxa" w:w="3120"/>
          </w:tcPr>
          <w:p>
            <w:r/>
            <w:r>
              <w:t xml:space="preserve">Disposal of unclaimed/abandoned goods in SEZs — </w:t>
            </w:r>
            <w:r>
              <w:rPr>
                <w:b/>
              </w:rPr>
              <w:t>not relevant; dropped at the client's instruction</w:t>
            </w:r>
          </w:p>
        </w:tc>
        <w:tc>
          <w:tcPr>
            <w:tcW w:type="dxa" w:w="3120"/>
          </w:tcPr>
          <w:p>
            <w:r/>
            <w:r>
              <w:rPr>
                <w:b/>
              </w:rPr>
              <w:t>[Verified as irrelevant]</w:t>
            </w:r>
          </w:p>
        </w:tc>
      </w:tr>
      <w:tr>
        <w:tc>
          <w:tcPr>
            <w:tcW w:type="dxa" w:w="3120"/>
          </w:tcPr>
          <w:p>
            <w:r/>
            <w:r>
              <w:t>Notification S.No. 77(F) dated 13.01.2010</w:t>
            </w:r>
          </w:p>
        </w:tc>
        <w:tc>
          <w:tcPr>
            <w:tcW w:type="dxa" w:w="3120"/>
          </w:tcPr>
          <w:p>
            <w:r/>
            <w:r>
              <w:t>Jurisdictional Development Commissioner notified as Enforcement Officer for notified offences in a SEZ</w:t>
            </w:r>
          </w:p>
        </w:tc>
        <w:tc>
          <w:tcPr>
            <w:tcW w:type="dxa" w:w="3120"/>
          </w:tcPr>
          <w:p>
            <w:r/>
            <w:r>
              <w:t>*</w:t>
            </w:r>
            <w:r>
              <w:rPr>
                <w:i/>
              </w:rPr>
              <w:t xml:space="preserve">[Reported — via </w:t>
            </w:r>
            <w:r>
              <w:t>Meenakshi International</w:t>
            </w:r>
            <w:r>
              <w:rPr>
                <w:i/>
              </w:rPr>
              <w:t>]</w:t>
            </w:r>
            <w:r>
              <w:t>*</w:t>
            </w:r>
          </w:p>
        </w:tc>
      </w:tr>
      <w:tr>
        <w:tc>
          <w:tcPr>
            <w:tcW w:type="dxa" w:w="3120"/>
          </w:tcPr>
          <w:p>
            <w:r/>
            <w:r>
              <w:t>DoC Instruction No. 34</w:t>
            </w:r>
          </w:p>
        </w:tc>
        <w:tc>
          <w:tcPr>
            <w:tcW w:type="dxa" w:w="3120"/>
          </w:tcPr>
          <w:p>
            <w:r/>
            <w:r>
              <w:t>No agency to carry out inspection, search, seizure or investigation without the approval of the DC unless notified under ss.20/21</w:t>
            </w:r>
          </w:p>
        </w:tc>
        <w:tc>
          <w:tcPr>
            <w:tcW w:type="dxa" w:w="3120"/>
          </w:tcPr>
          <w:p>
            <w:r/>
            <w:r>
              <w:rPr>
                <w:b/>
              </w:rPr>
              <w:t>[To verify]</w:t>
            </w:r>
          </w:p>
        </w:tc>
      </w:tr>
    </w:tbl>
    <w:p/>
    <w:p>
      <w:pPr>
        <w:jc w:val="both"/>
      </w:pPr>
      <w:r>
        <w:t xml:space="preserve">Instruction No. 117 cuts both ways and must be handled squarely: it shows that scrutiny of FTWZ cargo, including valuation scrutiny against NIDB, is contemplated — but it also shows that the framework is one of </w:t>
      </w:r>
      <w:r>
        <w:rPr>
          <w:b/>
        </w:rPr>
        <w:t>DC-supervised, module-based, documented</w:t>
      </w:r>
      <w:r>
        <w:t xml:space="preserve"> processing, in which an undocumented physical hold and unrecorded sampling by an investigation wing has no place. Note also the CCTV/one-year retention direction: the FTWZ footage of 10.08.2026 exists and should be preserved and called for.</w:t>
      </w:r>
    </w:p>
    <w:p>
      <w:pPr>
        <w:pStyle w:val="Heading2"/>
      </w:pPr>
      <w:r>
        <w:t>PART IV — WHAT ACTUALLY CREATES THE "Z" TYPE BILL OF ENTRY</w:t>
      </w:r>
    </w:p>
    <w:p>
      <w:pPr>
        <w:jc w:val="both"/>
      </w:pPr>
      <w:r>
        <w:t xml:space="preserve">There is </w:t>
      </w:r>
      <w:r>
        <w:rPr>
          <w:b/>
        </w:rPr>
        <w:t>no notification that prescribes a "Z-type Bill of Entry" as such.</w:t>
      </w:r>
      <w:r>
        <w:t xml:space="preserve"> "Z" is a document-type code in the Customs Automated System (ICES/ICEGATE). Its legal chain is:</w:t>
      </w:r>
    </w:p>
    <w:p>
      <w:pPr>
        <w:pStyle w:val="ListNumber"/>
      </w:pPr>
      <w:r>
        <w:rPr>
          <w:b/>
        </w:rPr>
        <w:t>Rule 29, SEZ Rules, 2006</w:t>
      </w:r>
      <w:r>
        <w:t xml:space="preserve"> — the substantive procedure and the only provision that governs the filing; Rule 29(2) makes the assessed/endorsed BoE the permission to move the goods into the Zone. </w:t>
      </w:r>
      <w:r>
        <w:rPr>
          <w:b/>
        </w:rPr>
        <w:t>[Verified]</w:t>
      </w:r>
    </w:p>
    <w:p>
      <w:pPr>
        <w:pStyle w:val="ListNumber"/>
      </w:pPr>
      <w:r>
        <w:rPr>
          <w:b/>
        </w:rPr>
        <w:t>Notification No. 36/2018-Customs (N.T.) dated 11.05.2018, G.S.R. 447(E)</w:t>
      </w:r>
      <w:r>
        <w:t xml:space="preserve"> — Bill of Entry (Electronic Integrated Declaration and Paperless Processing) Regulations, 2018, made under s.157 read with ss.46–47: the BoE is filed electronically and is deemed filed with self-assessment completed on entry of the declaration on the Customs Automated System. </w:t>
      </w:r>
      <w:r>
        <w:rPr>
          <w:b/>
        </w:rPr>
        <w:t>[Verified]</w:t>
      </w:r>
    </w:p>
    <w:p>
      <w:pPr>
        <w:pStyle w:val="ListNumber"/>
      </w:pPr>
      <w:r>
        <w:rPr>
          <w:b/>
        </w:rPr>
        <w:t>Department of Commerce (SEZ Division) letter No. J.16/3/2007-SEZ Vol-V dated 22.06.2024</w:t>
      </w:r>
      <w:r>
        <w:t xml:space="preserve"> (on DG Systems, CBIC e-mail dated 19.06.2024) — filing of import/export documents for </w:t>
      </w:r>
      <w:r>
        <w:rPr>
          <w:b/>
        </w:rPr>
        <w:t>all non-IT/ITES SEZs and FTWZs moves to ICEGATE w.e.f. 01.07.2024</w:t>
      </w:r>
      <w:r>
        <w:t xml:space="preserve">; no further filing on the NSDL SEZ-Online system; model Public Notice annexed, "Roll out of Indian Customs EDI System — ICEGATE for Imports and Exports at SEZs". </w:t>
      </w:r>
      <w:r>
        <w:rPr>
          <w:b/>
        </w:rPr>
        <w:t>[Verified]</w:t>
      </w:r>
    </w:p>
    <w:p>
      <w:pPr>
        <w:pStyle w:val="ListNumber"/>
      </w:pPr>
      <w:r>
        <w:rPr>
          <w:b/>
        </w:rPr>
        <w:t>Same file No., clarification dated 29.06.2024</w:t>
      </w:r>
      <w:r>
        <w:t xml:space="preserve"> — transition; RoDTEP only for ICEGATE filers; SEZ-Online permitted till 15.07.2024; and expressly: </w:t>
      </w:r>
      <w:r>
        <w:rPr>
          <w:i/>
        </w:rPr>
        <w:t>"The 'T' type B/E in ICEGATE meant for DTA clearance from trading/warehousing unit cannot be filed unless there is a corresponding 'Z' type B/E, such details being mandatory."</w:t>
      </w:r>
      <w:r>
        <w:t xml:space="preserve"> </w:t>
      </w:r>
      <w:r>
        <w:rPr>
          <w:b/>
        </w:rPr>
        <w:t>[Verified]</w:t>
      </w:r>
    </w:p>
    <w:p>
      <w:pPr>
        <w:pStyle w:val="ListNumber"/>
      </w:pPr>
      <w:r>
        <w:rPr>
          <w:b/>
        </w:rPr>
        <w:t>ICEGATE "FAQs on SEZ filing (Part-I)", Query No. 9</w:t>
      </w:r>
      <w:r>
        <w:t xml:space="preserve"> — "What are the types of BE available for SEZ in ICEGATE 2.0?" — a </w:t>
      </w:r>
      <w:r>
        <w:rPr>
          <w:b/>
        </w:rPr>
        <w:t>"Z" type Bill of Entry is filed for importing goods from foreign territory to a SEZ unit, and is similar to a Warehouse / Into-Bond Bill of Entry filed at a Customs port</w:t>
      </w:r>
      <w:r>
        <w:t>; the same reply deals with IGM and trans-shipment permission for moving cargo to the SEZ from the gateway port. *</w:t>
      </w:r>
      <w:r>
        <w:rPr>
          <w:i/>
        </w:rPr>
        <w:t xml:space="preserve">[Reported — quoted verbatim in the AAAR order in </w:t>
      </w:r>
      <w:r>
        <w:t>Panasonic Life Solutions</w:t>
      </w:r>
      <w:r>
        <w:rPr>
          <w:i/>
        </w:rPr>
        <w:t>; obtain a dated printout of the ICEGATE FAQ page as an exhibit]</w:t>
      </w:r>
      <w:r>
        <w:t>*</w:t>
      </w:r>
    </w:p>
    <w:p>
      <w:pPr>
        <w:pStyle w:val="ListNumber"/>
      </w:pPr>
      <w:r>
        <w:rPr>
          <w:b/>
        </w:rPr>
        <w:t>"USER MANUAL — SEZ WEB FORMS (ICEGATE)", Central Board of Indirect Taxes and Customs, dated 26.06.2023, Version 1.01</w:t>
      </w:r>
      <w:r>
        <w:t xml:space="preserve"> — the official ICEGATE 2.0 manual for the SEZ Bill of Entry web form. </w:t>
      </w:r>
      <w:r>
        <w:rPr>
          <w:b/>
        </w:rPr>
        <w:t>[Verified — full text read; 28 pages]</w:t>
      </w:r>
      <w:r>
        <w:t xml:space="preserve"> Its material contents are set out in Part IV-A below.</w:t>
      </w:r>
    </w:p>
    <w:p>
      <w:pPr>
        <w:pStyle w:val="ListNumber"/>
      </w:pPr>
      <w:r>
        <w:rPr>
          <w:b/>
        </w:rPr>
        <w:t>DG (Systems &amp; Data Management), CBIC advisory — "Process of customs clearance of Imported goods from foreign country to SEZ unit in ICES"</w:t>
      </w:r>
      <w:r>
        <w:t xml:space="preserve"> (46 pages, with sample Z, T and M type Bills of Entry and the officer-role screens). </w:t>
      </w:r>
      <w:r>
        <w:rPr>
          <w:b/>
        </w:rPr>
        <w:t>[Verified — full text read]</w:t>
      </w:r>
      <w:r>
        <w:t xml:space="preserve"> Its material contents are set out in Part IV-A below.</w:t>
      </w:r>
    </w:p>
    <w:p>
      <w:pPr>
        <w:pStyle w:val="ListNumber"/>
      </w:pPr>
      <w:r>
        <w:rPr>
          <w:b/>
        </w:rPr>
        <w:t>Other DG Systems/ICEGATE SEZ advisories</w:t>
      </w:r>
      <w:r>
        <w:t xml:space="preserve"> — "SEZ Goods Movement on ICEGATE 2.0", "SEZ DTA Procurement", "ONLINE PAYMENT OF CUSTOMS DUTY (SEZ to DTA Bill of Entry Transactions)", "SEZ Registration Amendment", "Advisory for SEZ Registration on ICEGATE 2.0" — all hosted in the ICEGATE Advisory index on the SEZ websites. </w:t>
      </w:r>
      <w:r>
        <w:rPr>
          <w:b/>
        </w:rPr>
        <w:t>[Reported — index read and verified; download the individual advisories that are actually relied upon]</w:t>
      </w:r>
    </w:p>
    <w:p>
      <w:pPr>
        <w:pStyle w:val="ListNumber"/>
      </w:pPr>
      <w:r>
        <w:rPr>
          <w:b/>
        </w:rPr>
        <w:t>ICES Advisory No. 13/2026 (DG Systems) and the corresponding Custom House Public Notices</w:t>
      </w:r>
      <w:r>
        <w:t xml:space="preserve"> on automated SEZ ↔ Customs Bonded Warehouse movement — the 'Z' type BE is the document by which a SEZ unit receives goods, and a 'W' type BE with the 'Z' BE reference is used for movement to a bonded warehouse; importer type "T" for as-is clearance and "M" for post-manufacture clearance. </w:t>
      </w:r>
      <w:r>
        <w:rPr>
          <w:b/>
        </w:rPr>
        <w:t>[Reported — obtain the advisory and the Chennai Public Notice]</w:t>
      </w:r>
    </w:p>
    <w:p>
      <w:pPr>
        <w:pStyle w:val="ListNumber"/>
      </w:pPr>
      <w:r>
        <w:rPr>
          <w:b/>
        </w:rPr>
        <w:t>Commissionerate Public Notices</w:t>
      </w:r>
      <w:r>
        <w:t xml:space="preserve"> implementing the ICEGATE roll-out at SEZs, and the Chennai Air Cargo Complex Public Notice on </w:t>
      </w:r>
      <w:r>
        <w:rPr>
          <w:b/>
        </w:rPr>
        <w:t>movement of SEZ/FTWZ cargo out of ACC</w:t>
      </w:r>
      <w:r>
        <w:t xml:space="preserve"> — this names the officer competent to permit the movement, which is not SIIB. </w:t>
      </w:r>
      <w:r>
        <w:rPr>
          <w:b/>
        </w:rPr>
        <w:t>[Not traced online — to be obtained from the Commissionerate; important for Writ No. 1]</w:t>
      </w:r>
    </w:p>
    <w:p>
      <w:pPr>
        <w:jc w:val="both"/>
      </w:pPr>
      <w:r>
        <w:t xml:space="preserve">Codes: </w:t>
      </w:r>
      <w:r>
        <w:rPr>
          <w:b/>
        </w:rPr>
        <w:t>Z</w:t>
      </w:r>
      <w:r>
        <w:t xml:space="preserve"> = import into SEZ/FTWZ; </w:t>
      </w:r>
      <w:r>
        <w:rPr>
          <w:b/>
        </w:rPr>
        <w:t>T</w:t>
      </w:r>
      <w:r>
        <w:t xml:space="preserve"> = DTA sale from a trading/warehousing unit; </w:t>
      </w:r>
      <w:r>
        <w:rPr>
          <w:b/>
        </w:rPr>
        <w:t>M</w:t>
      </w:r>
      <w:r>
        <w:t xml:space="preserve"> = DTA sale from a manufacturing unit; </w:t>
      </w:r>
      <w:r>
        <w:rPr>
          <w:b/>
        </w:rPr>
        <w:t>V</w:t>
      </w:r>
      <w:r>
        <w:t xml:space="preserve"> = inter-SEZ transfer; </w:t>
      </w:r>
      <w:r>
        <w:rPr>
          <w:b/>
        </w:rPr>
        <w:t>W</w:t>
      </w:r>
      <w:r>
        <w:t xml:space="preserve"> = warehouse (bonded) movement.</w:t>
      </w:r>
    </w:p>
    <w:p>
      <w:pPr>
        <w:jc w:val="both"/>
      </w:pPr>
      <w:r>
        <w:rPr>
          <w:b/>
        </w:rPr>
        <w:t>The negative proposition to plead:</w:t>
      </w:r>
      <w:r>
        <w:t xml:space="preserve"> none of these instruments — Rule 29, the 2018 Regulations, the letters of 22.06.2024 and 29.06.2024, the ICEGATE advisories or any Public Notice — confers on any officer a power to withhold, suspend or keep in abeyance a Bill of Entry that has already been assessed, or to stop the movement of the goods under it. The only statutory routes are s.17(4)/(5), s.18 and s.110.</w:t>
      </w:r>
    </w:p>
    <w:p>
      <w:pPr>
        <w:pStyle w:val="Heading2"/>
      </w:pPr>
      <w:r>
        <w:t>PART IV-A — THE ICEGATE 2.0 SEZ WEB FORMS MANUAL AND THE DG SYSTEMS ADVISORY: WHAT THEY ACTUALLY PRESCRIBE</w:t>
      </w:r>
    </w:p>
    <w:p>
      <w:pPr>
        <w:jc w:val="both"/>
      </w:pPr>
      <w:r>
        <w:t xml:space="preserve">Both documents have now been read in full and both are official CBIC documents. Together they are the best available proof of the </w:t>
      </w:r>
      <w:r>
        <w:rPr>
          <w:b/>
        </w:rPr>
        <w:t>prescribed sequence</w:t>
      </w:r>
      <w:r>
        <w:t xml:space="preserve"> for a Z-type consignment, and they show that what was done at the Air Cargo Complex on 07.08.2026 has no place in that sequence.</w:t>
      </w:r>
    </w:p>
    <w:p>
      <w:pPr>
        <w:pStyle w:val="Heading3"/>
      </w:pPr>
      <w:r>
        <w:t xml:space="preserve">1. The manual — "User Manual, SEZ Web Forms (ICEGATE)", CBIC, 26.06.2023, Version 1.01 </w:t>
      </w:r>
      <w:r>
        <w:rPr>
          <w:b/>
        </w:rPr>
        <w:t>[Verified]</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r>
              <w:rPr>
                <w:b/>
              </w:rPr>
              <w:t>Clause / place</w:t>
            </w:r>
          </w:p>
        </w:tc>
        <w:tc>
          <w:tcPr>
            <w:tcW w:type="dxa" w:w="3120"/>
          </w:tcPr>
          <w:p>
            <w:r>
              <w:rPr>
                <w:b/>
              </w:rPr>
            </w:r>
            <w:r>
              <w:rPr>
                <w:b/>
              </w:rPr>
              <w:t>What it says</w:t>
            </w:r>
          </w:p>
        </w:tc>
        <w:tc>
          <w:tcPr>
            <w:tcW w:type="dxa" w:w="3120"/>
          </w:tcPr>
          <w:p>
            <w:r>
              <w:rPr>
                <w:b/>
              </w:rPr>
            </w:r>
            <w:r>
              <w:rPr>
                <w:b/>
              </w:rPr>
              <w:t>Use</w:t>
            </w:r>
          </w:p>
        </w:tc>
      </w:tr>
      <w:tr>
        <w:tc>
          <w:tcPr>
            <w:tcW w:type="dxa" w:w="3120"/>
          </w:tcPr>
          <w:p>
            <w:r/>
            <w:r>
              <w:t>§3 (Overview)</w:t>
            </w:r>
          </w:p>
        </w:tc>
        <w:tc>
          <w:tcPr>
            <w:tcW w:type="dxa" w:w="3120"/>
          </w:tcPr>
          <w:p>
            <w:r/>
            <w:r>
              <w:t xml:space="preserve">With the addition of the SEZ type Bill of Entry, the </w:t>
            </w:r>
            <w:r>
              <w:rPr>
                <w:b/>
              </w:rPr>
              <w:t>Bill of Entry message format remains the same</w:t>
            </w:r>
            <w:r>
              <w:t xml:space="preserve">, but the data validations change with the Z and T type, ICEGATE validating structure and fields and </w:t>
            </w:r>
            <w:r>
              <w:rPr>
                <w:b/>
              </w:rPr>
              <w:t>ICES doing the data validation</w:t>
            </w:r>
          </w:p>
        </w:tc>
        <w:tc>
          <w:tcPr>
            <w:tcW w:type="dxa" w:w="3120"/>
          </w:tcPr>
          <w:p>
            <w:r/>
            <w:r>
              <w:t>The "Z" is a validation/document code within one and the same statutory Bill of Entry — it is not a lesser or informal document, and it is not a species of clearance outside the Act</w:t>
            </w:r>
          </w:p>
        </w:tc>
      </w:tr>
      <w:tr>
        <w:tc>
          <w:tcPr>
            <w:tcW w:type="dxa" w:w="3120"/>
          </w:tcPr>
          <w:p>
            <w:r/>
            <w:r>
              <w:t>§5.3</w:t>
            </w:r>
          </w:p>
        </w:tc>
        <w:tc>
          <w:tcPr>
            <w:tcW w:type="dxa" w:w="3120"/>
          </w:tcPr>
          <w:p>
            <w:r/>
            <w:r>
              <w:t xml:space="preserve">On selecting "SEZ Bill of Entry" only two types are available: </w:t>
            </w:r>
            <w:r>
              <w:rPr>
                <w:b/>
              </w:rPr>
              <w:t>"Z type BOE :- SEZ BE (FTA-SEZ)"</w:t>
            </w:r>
            <w:r>
              <w:t xml:space="preserve"> and </w:t>
            </w:r>
            <w:r>
              <w:rPr>
                <w:b/>
              </w:rPr>
              <w:t>"T type BOE :- SEZ (DTA Sales – Trading)"</w:t>
            </w:r>
          </w:p>
        </w:tc>
        <w:tc>
          <w:tcPr>
            <w:tcW w:type="dxa" w:w="3120"/>
          </w:tcPr>
          <w:p>
            <w:r/>
            <w:r>
              <w:t>Confirms the code meanings pleaded</w:t>
            </w:r>
          </w:p>
        </w:tc>
      </w:tr>
      <w:tr>
        <w:tc>
          <w:tcPr>
            <w:tcW w:type="dxa" w:w="3120"/>
          </w:tcPr>
          <w:p>
            <w:r/>
            <w:r>
              <w:t>§5.3.2, Segment-1</w:t>
            </w:r>
          </w:p>
        </w:tc>
        <w:tc>
          <w:tcPr>
            <w:tcW w:type="dxa" w:w="3120"/>
          </w:tcPr>
          <w:p>
            <w:r/>
            <w:r>
              <w:t xml:space="preserve">The first segment of the Z-type form is </w:t>
            </w:r>
            <w:r>
              <w:rPr>
                <w:b/>
              </w:rPr>
              <w:t>"General and Warehouse Details"</w:t>
            </w:r>
            <w:r>
              <w:t xml:space="preserve"> — IEC, importer name and address, </w:t>
            </w:r>
            <w:r>
              <w:rPr>
                <w:b/>
              </w:rPr>
              <w:t>Custom House Code where the BE is getting filed</w:t>
            </w:r>
            <w:r>
              <w:t>, BE type, broker code, country of origin</w:t>
            </w:r>
          </w:p>
        </w:tc>
        <w:tc>
          <w:tcPr>
            <w:tcW w:type="dxa" w:w="3120"/>
          </w:tcPr>
          <w:p>
            <w:r/>
            <w:r>
              <w:t>The form is a warehousing document filed at the SEZ Custom House code, not at the gateway</w:t>
            </w:r>
          </w:p>
        </w:tc>
      </w:tr>
      <w:tr>
        <w:tc>
          <w:tcPr>
            <w:tcW w:type="dxa" w:w="3120"/>
          </w:tcPr>
          <w:p>
            <w:r/>
            <w:r>
              <w:t>§5.3.2, Segments 4 and 5</w:t>
            </w:r>
          </w:p>
        </w:tc>
        <w:tc>
          <w:tcPr>
            <w:tcW w:type="dxa" w:w="3120"/>
          </w:tcPr>
          <w:p>
            <w:r/>
            <w:r>
              <w:rPr>
                <w:b/>
              </w:rPr>
              <w:t>Bond details</w:t>
            </w:r>
            <w:r>
              <w:t xml:space="preserve"> (bond number, bond code, Custom port of registration; multiple bonds possible) and, in the alternative, </w:t>
            </w:r>
            <w:r>
              <w:rPr>
                <w:b/>
              </w:rPr>
              <w:t>certificate in lieu of bond</w:t>
            </w:r>
          </w:p>
        </w:tc>
        <w:tc>
          <w:tcPr>
            <w:tcW w:type="dxa" w:w="3120"/>
          </w:tcPr>
          <w:p>
            <w:r/>
            <w:r>
              <w:t>The revenue on a Z-type BoE is secured by the Unit's registered bond — the answer to any "interest of revenue" objection to release</w:t>
            </w:r>
          </w:p>
        </w:tc>
      </w:tr>
      <w:tr>
        <w:tc>
          <w:tcPr>
            <w:tcW w:type="dxa" w:w="3120"/>
          </w:tcPr>
          <w:p>
            <w:r/>
            <w:r>
              <w:t>§5.3.2, Segments 6–7</w:t>
            </w:r>
          </w:p>
        </w:tc>
        <w:tc>
          <w:tcPr>
            <w:tcW w:type="dxa" w:w="3120"/>
          </w:tcPr>
          <w:p>
            <w:r/>
            <w:r>
              <w:t>IGM particulars (IGM no./date, inward date, AWB/BL, HAWB/HBL, packages, gross weight) and container/seal details</w:t>
            </w:r>
          </w:p>
        </w:tc>
        <w:tc>
          <w:tcPr>
            <w:tcW w:type="dxa" w:w="3120"/>
          </w:tcPr>
          <w:p>
            <w:r/>
            <w:r>
              <w:t>The system already holds the package and seal record against which any drawal of samples must be reconciled</w:t>
            </w:r>
          </w:p>
        </w:tc>
      </w:tr>
    </w:tbl>
    <w:p/>
    <w:p>
      <w:pPr>
        <w:pStyle w:val="Heading3"/>
      </w:pPr>
      <w:r>
        <w:t xml:space="preserve">2. The DG Systems advisory — "Process of customs clearance of Imported goods from foreign country to SEZ unit in ICES" </w:t>
      </w:r>
      <w:r>
        <w:rPr>
          <w:b/>
        </w:rPr>
        <w:t>[Verified]</w:t>
      </w:r>
    </w:p>
    <w:p>
      <w:pPr>
        <w:jc w:val="both"/>
      </w:pPr>
      <w:r>
        <w:rPr>
          <w:b/>
        </w:rPr>
        <w:t>(a) The prescribed sequence, in the Department's own words:</w:t>
      </w:r>
    </w:p>
    <w:p>
      <w:pPr>
        <w:ind w:left="720"/>
      </w:pPr>
      <w:r>
        <w:rPr>
          <w:i/>
        </w:rPr>
        <w:t xml:space="preserve">"For imported goods, complete process in ICES would be as follows: Filing of IGM (by shipping line) → Filing of bill of entry (by importer) → Assessment of bill of entry (by officer through APR &amp; ACL roles) → </w:t>
      </w:r>
      <w:r>
        <w:rPr>
          <w:b/>
          <w:i/>
        </w:rPr>
        <w:t>Transhipment permission at gateway port/airport → Registration of goods at SEZ (by officer through AAI role) → Examination/inspection of goods (by officer through INS role)</w:t>
      </w:r>
      <w:r>
        <w:rPr>
          <w:i/>
        </w:rPr>
        <w:t xml:space="preserve"> → Out of charge (by officer through SUP role)"</w:t>
      </w:r>
    </w:p>
    <w:p>
      <w:pPr>
        <w:jc w:val="both"/>
      </w:pPr>
      <w:r>
        <w:t xml:space="preserve">This is the single most useful sentence found so far. On the Department's own process document, </w:t>
      </w:r>
      <w:r>
        <w:rPr>
          <w:b/>
        </w:rPr>
        <w:t>examination and inspection of the goods come after the goods have been moved to the Zone and registered there</w:t>
      </w:r>
      <w:r>
        <w:t xml:space="preserve"> — exactly as the MEPZ SOP for Blister Copper requires examination and sampling "at the time of warehousing" and by the Authorised Officer. The events of 07.08.2026 at the Air Cargo Complex — drawal of samples at the gateway, before trans-shipment and before registration at the Zone — invert the prescribed sequence and were done by an officer holding none of the ICES roles (APR/ACL, AAI, INS, SUP) to which the function is assigned.</w:t>
      </w:r>
    </w:p>
    <w:p>
      <w:pPr>
        <w:jc w:val="both"/>
      </w:pPr>
      <w:r>
        <w:rPr>
          <w:b/>
        </w:rPr>
        <w:t>(b) The nature of the document:</w:t>
      </w:r>
    </w:p>
    <w:p>
      <w:pPr>
        <w:ind w:left="720"/>
      </w:pPr>
      <w:r>
        <w:rPr>
          <w:i/>
        </w:rPr>
        <w:t xml:space="preserve">"For importing goods from foreign territory to the SEZ unit, 'Z' type bill of entry has been developed in ICES. </w:t>
      </w:r>
      <w:r>
        <w:rPr>
          <w:b/>
          <w:i/>
        </w:rPr>
        <w:t>The bill of entry format is similar to a warehouse bill of entry filed at a customs port.</w:t>
      </w:r>
      <w:r>
        <w:rPr>
          <w:i/>
        </w:rPr>
        <w:t>"</w:t>
      </w:r>
    </w:p>
    <w:p>
      <w:pPr>
        <w:jc w:val="both"/>
      </w:pPr>
      <w:r>
        <w:t>Confirms from a primary CBIC source what the ICEGATE FAQ says — the goods are warehoused, not cleared for home consumption, and no duty arises at this stage.</w:t>
      </w:r>
    </w:p>
    <w:p>
      <w:pPr>
        <w:jc w:val="both"/>
      </w:pPr>
      <w:r>
        <w:rPr>
          <w:b/>
        </w:rPr>
        <w:t>(c) Salient features of the Z-type BoE that help us:</w:t>
      </w:r>
    </w:p>
    <w:tbl>
      <w:tblPr>
        <w:tblStyle w:val="TableGrid"/>
        <w:tblW w:type="auto" w:w="0"/>
        <w:tblLook w:firstColumn="1" w:firstRow="1" w:lastColumn="0" w:lastRow="0" w:noHBand="0" w:noVBand="1" w:val="04A0"/>
      </w:tblPr>
      <w:tblGrid>
        <w:gridCol w:w="4680"/>
        <w:gridCol w:w="4680"/>
      </w:tblGrid>
      <w:tr>
        <w:tc>
          <w:tcPr>
            <w:tcW w:type="dxa" w:w="4680"/>
          </w:tcPr>
          <w:p>
            <w:r>
              <w:rPr>
                <w:b/>
              </w:rPr>
            </w:r>
            <w:r>
              <w:rPr>
                <w:b/>
              </w:rPr>
              <w:t>Feature (verbatim or close paraphrase)</w:t>
            </w:r>
          </w:p>
        </w:tc>
        <w:tc>
          <w:tcPr>
            <w:tcW w:type="dxa" w:w="4680"/>
          </w:tcPr>
          <w:p>
            <w:r>
              <w:rPr>
                <w:b/>
              </w:rPr>
            </w:r>
            <w:r>
              <w:rPr>
                <w:b/>
              </w:rPr>
              <w:t>Use in the writ</w:t>
            </w:r>
          </w:p>
        </w:tc>
      </w:tr>
      <w:tr>
        <w:tc>
          <w:tcPr>
            <w:tcW w:type="dxa" w:w="4680"/>
          </w:tcPr>
          <w:p>
            <w:r/>
            <w:r>
              <w:t xml:space="preserve">"A 'Z' type bill of entry </w:t>
            </w:r>
            <w:r>
              <w:rPr>
                <w:b/>
              </w:rPr>
              <w:t>can be filed at any SEZ location against a line of the IGM irrespective of the port of destination</w:t>
            </w:r>
            <w:r>
              <w:t xml:space="preserve"> declared in the IGM" (example given: IGM destination INSSA1, Z-type BoE filed at </w:t>
            </w:r>
            <w:r>
              <w:rPr>
                <w:b/>
              </w:rPr>
              <w:t>INMAA6 for a unit at MEPZ SEZ</w:t>
            </w:r>
            <w:r>
              <w:t>)</w:t>
            </w:r>
          </w:p>
        </w:tc>
        <w:tc>
          <w:tcPr>
            <w:tcW w:type="dxa" w:w="4680"/>
          </w:tcPr>
          <w:p>
            <w:r/>
            <w:r>
              <w:t>The jurisdiction over the consignment is the SEZ location's, chosen by the filing; the gateway formation is not the assessing or examining authority. The illustration in the advisory is the very port code of MEPZ SEZ</w:t>
            </w:r>
          </w:p>
        </w:tc>
      </w:tr>
      <w:tr>
        <w:tc>
          <w:tcPr>
            <w:tcW w:type="dxa" w:w="4680"/>
          </w:tcPr>
          <w:p>
            <w:r/>
            <w:r>
              <w:t>"</w:t>
            </w:r>
            <w:r>
              <w:rPr>
                <w:b/>
              </w:rPr>
              <w:t>Transhipment permission</w:t>
            </w:r>
            <w:r>
              <w:t xml:space="preserve"> for moving the cargo to SEZ from gateway port would be provided at gateway port/airport, if the destination mentioned in IGM is either SEZ location or gateway port"</w:t>
            </w:r>
          </w:p>
        </w:tc>
        <w:tc>
          <w:tcPr>
            <w:tcW w:type="dxa" w:w="4680"/>
          </w:tcPr>
          <w:p>
            <w:r/>
            <w:r>
              <w:t>Movement out of the Air Cargo Complex is a defined, system-driven permission — a ministerial act on the assessed BoE, not a discretion of an intelligence wing</w:t>
            </w:r>
          </w:p>
        </w:tc>
      </w:tr>
      <w:tr>
        <w:tc>
          <w:tcPr>
            <w:tcW w:type="dxa" w:w="4680"/>
          </w:tcPr>
          <w:p>
            <w:r/>
            <w:r>
              <w:t xml:space="preserve">"Transhipment permission can be generated </w:t>
            </w:r>
            <w:r>
              <w:rPr>
                <w:b/>
              </w:rPr>
              <w:t>only when there is sufficient balance available in the bond</w:t>
            </w:r>
            <w:r>
              <w:t xml:space="preserve"> submitted by the SEZ unit. An amount equal to duty value would be debited at the time of approval of transhipment"</w:t>
            </w:r>
          </w:p>
        </w:tc>
        <w:tc>
          <w:tcPr>
            <w:tcW w:type="dxa" w:w="4680"/>
          </w:tcPr>
          <w:p>
            <w:r/>
            <w:r>
              <w:t>The duty is secured on the bond before the goods move; there is nothing left to protect by holding the goods</w:t>
            </w:r>
          </w:p>
        </w:tc>
      </w:tr>
      <w:tr>
        <w:tc>
          <w:tcPr>
            <w:tcW w:type="dxa" w:w="4680"/>
          </w:tcPr>
          <w:p>
            <w:r/>
            <w:r>
              <w:t xml:space="preserve">"Bill of entry can be filed when there is sufficient balance in the Bond … an amount equal to </w:t>
            </w:r>
            <w:r>
              <w:rPr>
                <w:b/>
              </w:rPr>
              <w:t>duty forgone</w:t>
            </w:r>
            <w:r>
              <w:t xml:space="preserve"> amount would be debited in the system"</w:t>
            </w:r>
          </w:p>
        </w:tc>
        <w:tc>
          <w:tcPr>
            <w:tcW w:type="dxa" w:w="4680"/>
          </w:tcPr>
          <w:p>
            <w:r/>
            <w:r>
              <w:t>Same point at the filing stage</w:t>
            </w:r>
          </w:p>
        </w:tc>
      </w:tr>
      <w:tr>
        <w:tc>
          <w:tcPr>
            <w:tcW w:type="dxa" w:w="4680"/>
          </w:tcPr>
          <w:p>
            <w:r/>
            <w:r>
              <w:t xml:space="preserve">"For consignments where </w:t>
            </w:r>
            <w:r>
              <w:rPr>
                <w:b/>
              </w:rPr>
              <w:t>no foreign exchange is involved at the time of import (where foreign supplier is keeping his goods in the SEZ unit)</w:t>
            </w:r>
            <w:r>
              <w:t>, a dummy AD code 'NFEI' has been created"</w:t>
            </w:r>
          </w:p>
        </w:tc>
        <w:tc>
          <w:tcPr>
            <w:tcW w:type="dxa" w:w="4680"/>
          </w:tcPr>
          <w:p>
            <w:r/>
            <w:r>
              <w:t>The Department's own system expressly contemplates our exact model — a foreign supplier (M/s Gemtec Jewellery FZE) keeping its goods in an Indian FTWZ unit. This answers any insinuation that the arrangement is itself irregular</w:t>
            </w:r>
          </w:p>
        </w:tc>
      </w:tr>
      <w:tr>
        <w:tc>
          <w:tcPr>
            <w:tcW w:type="dxa" w:w="4680"/>
          </w:tcPr>
          <w:p>
            <w:r/>
            <w:r>
              <w:t>"</w:t>
            </w:r>
            <w:r>
              <w:rPr>
                <w:b/>
              </w:rPr>
              <w:t>There is no first check option available for 'Z' type Bill of entry</w:t>
            </w:r>
            <w:r>
              <w:t>"</w:t>
            </w:r>
          </w:p>
        </w:tc>
        <w:tc>
          <w:tcPr>
            <w:tcW w:type="dxa" w:w="4680"/>
          </w:tcPr>
          <w:p>
            <w:r/>
            <w:r>
              <w:t>Decisive on the sampling. "First check" is the very procedure of examining/testing goods before assessment. The system does not permit it for a Z-type BoE at all. What was done on 07.08.2026 was a first check by another name, for which there is no provision</w:t>
            </w:r>
          </w:p>
        </w:tc>
      </w:tr>
      <w:tr>
        <w:tc>
          <w:tcPr>
            <w:tcW w:type="dxa" w:w="4680"/>
          </w:tcPr>
          <w:p>
            <w:r/>
            <w:r>
              <w:t xml:space="preserve">"Assessment and examination of bill of entry would </w:t>
            </w:r>
            <w:r>
              <w:rPr>
                <w:b/>
              </w:rPr>
              <w:t>depend upon RMS risk treatment</w:t>
            </w:r>
            <w:r>
              <w:t xml:space="preserve"> of bill of entry"</w:t>
            </w:r>
          </w:p>
        </w:tc>
        <w:tc>
          <w:tcPr>
            <w:tcW w:type="dxa" w:w="4680"/>
          </w:tcPr>
          <w:p>
            <w:r/>
            <w:r>
              <w:t>Any examination must be RMS-directed and performed in the INS role; no RMS instruction has been shown</w:t>
            </w:r>
          </w:p>
        </w:tc>
      </w:tr>
      <w:tr>
        <w:tc>
          <w:tcPr>
            <w:tcW w:type="dxa" w:w="4680"/>
          </w:tcPr>
          <w:p>
            <w:r/>
            <w:r>
              <w:t xml:space="preserve">"This type of bill of entry </w:t>
            </w:r>
            <w:r>
              <w:rPr>
                <w:b/>
              </w:rPr>
              <w:t>would not be sent to PGA (Partner Government Agency) for NOC</w:t>
            </w:r>
            <w:r>
              <w:t>" … whereas "</w:t>
            </w:r>
            <w:r>
              <w:rPr>
                <w:b/>
              </w:rPr>
              <w:t>all the PGA's requirements would be applicable at the time of DTA clearance</w:t>
            </w:r>
            <w:r>
              <w:t>" (T type)</w:t>
            </w:r>
          </w:p>
        </w:tc>
        <w:tc>
          <w:tcPr>
            <w:tcW w:type="dxa" w:w="4680"/>
          </w:tcPr>
          <w:p>
            <w:r/>
            <w:r>
              <w:t>Quality/compliance checks on the goods belong to the DTA-clearance stage, not the warehousing stage — which is precisely why the SOP defers OOC to the test report and does not authorise a gateway hold</w:t>
            </w:r>
          </w:p>
        </w:tc>
      </w:tr>
      <w:tr>
        <w:tc>
          <w:tcPr>
            <w:tcW w:type="dxa" w:w="4680"/>
          </w:tcPr>
          <w:p>
            <w:r/>
            <w:r>
              <w:t xml:space="preserve">"ICES is </w:t>
            </w:r>
            <w:r>
              <w:rPr>
                <w:b/>
              </w:rPr>
              <w:t>maintaining a ledger</w:t>
            </w:r>
            <w:r>
              <w:t xml:space="preserve"> of all Z type of bills of entry and goods cleared against T type bill of entry are updated in the ledger … the balance quantity … has to exist in the ledger"</w:t>
            </w:r>
          </w:p>
        </w:tc>
        <w:tc>
          <w:tcPr>
            <w:tcW w:type="dxa" w:w="4680"/>
          </w:tcPr>
          <w:p>
            <w:r/>
            <w:r>
              <w:t>The goods cannot be diverted; every gram is accounted for in the system before any DTA clearance is possible. There is no risk that release into the Zone defeats the investigation</w:t>
            </w:r>
          </w:p>
        </w:tc>
      </w:tr>
      <w:tr>
        <w:tc>
          <w:tcPr>
            <w:tcW w:type="dxa" w:w="4680"/>
          </w:tcPr>
          <w:p>
            <w:r/>
            <w:r>
              <w:t xml:space="preserve">"An option has been provided to the SEZ officers to </w:t>
            </w:r>
            <w:r>
              <w:rPr>
                <w:b/>
              </w:rPr>
              <w:t>credit the bond amount</w:t>
            </w:r>
            <w:r>
              <w:t>, if the liability associated with the bill of entry is complete"</w:t>
            </w:r>
          </w:p>
        </w:tc>
        <w:tc>
          <w:tcPr>
            <w:tcW w:type="dxa" w:w="4680"/>
          </w:tcPr>
          <w:p>
            <w:r/>
            <w:r>
              <w:t>The bond mechanics are the designed security; provisional release on bond is the ordinary course, not an indulgence</w:t>
            </w:r>
          </w:p>
        </w:tc>
      </w:tr>
    </w:tbl>
    <w:p/>
    <w:p>
      <w:pPr>
        <w:jc w:val="both"/>
      </w:pPr>
      <w:r>
        <w:rPr>
          <w:b/>
        </w:rPr>
        <w:t>(d) The officer roles.</w:t>
      </w:r>
      <w:r>
        <w:t xml:space="preserve"> The advisory reproduces the screens for </w:t>
      </w:r>
      <w:r>
        <w:rPr>
          <w:b/>
        </w:rPr>
        <w:t>Assessment</w:t>
      </w:r>
      <w:r>
        <w:t xml:space="preserve"> (APR and ACL roles, with the officer's SSO ID mapped to the HSN Assessment Group before a BoE can even enter his queue), </w:t>
      </w:r>
      <w:r>
        <w:rPr>
          <w:b/>
        </w:rPr>
        <w:t>Registration of goods</w:t>
      </w:r>
      <w:r>
        <w:t xml:space="preserve">, </w:t>
      </w:r>
      <w:r>
        <w:rPr>
          <w:b/>
        </w:rPr>
        <w:t>Examination of goods</w:t>
      </w:r>
      <w:r>
        <w:t xml:space="preserve"> and </w:t>
      </w:r>
      <w:r>
        <w:rPr>
          <w:b/>
        </w:rPr>
        <w:t>Out of charge</w:t>
      </w:r>
      <w:r>
        <w:t xml:space="preserve"> (SUP role) — each "to be done by an officer" in the assigned role.</w:t>
      </w:r>
    </w:p>
    <w:p>
      <w:pPr>
        <w:ind w:left="720"/>
      </w:pPr>
      <w:r>
        <w:rPr>
          <w:b/>
          <w:i/>
        </w:rPr>
        <w:t>The ground this yields:</w:t>
      </w:r>
      <w:r>
        <w:rPr>
          <w:i/>
        </w:rPr>
        <w:t xml:space="preserve"> the Customs Automated System allots each act on a Z-type Bill of Entry to a named role — APR/ACL for assessment, AAI for registration at the Zone, INS for examination, SUP for out of charge — and an officer of the intelligence wing holds none of them. An assessment made in the system by the officer in the APR/ACL role, on a Bill of Entry from which the duty forgone has already been debited to the Unit's bond, cannot be set at nought by an officer outside the system who has neither passed an order under s.17(4)/(5) or s.18 nor effected a seizure under s.110. And the drawal of samples at the gateway on 07.08.2026, before trans-shipment and before registration of the goods at the Zone, reverses the sequence the Department itself prescribes and amounts to a "first check" which, on the Department's own document, is </w:t>
      </w:r>
      <w:r>
        <w:rPr>
          <w:b/>
          <w:i/>
        </w:rPr>
        <w:t>not available at all</w:t>
      </w:r>
      <w:r>
        <w:rPr>
          <w:i/>
        </w:rPr>
        <w:t xml:space="preserve"> for a Z-type Bill of Entry.</w:t>
      </w:r>
    </w:p>
    <w:p>
      <w:pPr>
        <w:jc w:val="both"/>
      </w:pPr>
      <w:r>
        <w:rPr>
          <w:b/>
        </w:rPr>
        <w:t>Exhibits to file:</w:t>
      </w:r>
      <w:r>
        <w:t xml:space="preserve"> dated printout of the ICEGATE 2.0 "User Manual — SEZ Web Forms" (CBIC, 26.06.2023, v.1.01) and of the DG Systems advisory "Process of customs clearance of Imported goods from foreign country to SEZ unit in ICES". Both are downloadable from the ICEGATE Advisory index hosted on the SEZ websites (e.g. </w:t>
      </w:r>
      <w:r>
        <w:rPr>
          <w:rFonts w:ascii="Courier New" w:hAnsi="Courier New"/>
        </w:rPr>
        <w:t>https://nsez.gov.in/Resources/ICEGATE Advisory.pdf</w:t>
      </w:r>
      <w:r>
        <w:t>, items 9 and 16). Print with the URL and date footer visible.</w:t>
      </w:r>
    </w:p>
    <w:p>
      <w:pPr>
        <w:pStyle w:val="Heading2"/>
      </w:pPr>
      <w:r>
        <w:t>PART V — CASE LAW</w:t>
      </w:r>
    </w:p>
    <w:p>
      <w:pPr>
        <w:pStyle w:val="Heading3"/>
      </w:pPr>
      <w:r>
        <w:t>A. Z-type Bill of Entry / SEZ-FTWZ cargo — Madras High Court</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r>
              <w:rPr>
                <w:b/>
              </w:rPr>
              <w:t>Case</w:t>
            </w:r>
          </w:p>
        </w:tc>
        <w:tc>
          <w:tcPr>
            <w:tcW w:type="dxa" w:w="3120"/>
          </w:tcPr>
          <w:p>
            <w:r>
              <w:rPr>
                <w:b/>
              </w:rPr>
            </w:r>
            <w:r>
              <w:rPr>
                <w:b/>
              </w:rPr>
              <w:t>Citation / status</w:t>
            </w:r>
          </w:p>
        </w:tc>
        <w:tc>
          <w:tcPr>
            <w:tcW w:type="dxa" w:w="3120"/>
          </w:tcPr>
          <w:p>
            <w:r>
              <w:rPr>
                <w:b/>
              </w:rPr>
            </w:r>
            <w:r>
              <w:rPr>
                <w:b/>
              </w:rPr>
              <w:t>Holding relevant to us</w:t>
            </w:r>
          </w:p>
        </w:tc>
      </w:tr>
      <w:tr>
        <w:tc>
          <w:tcPr>
            <w:tcW w:type="dxa" w:w="3120"/>
          </w:tcPr>
          <w:p>
            <w:r/>
            <w:r>
              <w:t>*</w:t>
            </w:r>
            <w:r>
              <w:rPr>
                <w:b/>
              </w:rPr>
              <w:t>Shaurya International v. Principal Commissioner of Customs (Chennai-III)</w:t>
            </w:r>
            <w:r>
              <w:t>*</w:t>
            </w:r>
          </w:p>
        </w:tc>
        <w:tc>
          <w:tcPr>
            <w:tcW w:type="dxa" w:w="3120"/>
          </w:tcPr>
          <w:p>
            <w:r/>
            <w:r>
              <w:t xml:space="preserve">Madras HC, reported Nov. 2025; follows W.P. No. 33723 of 2025 </w:t>
            </w:r>
            <w:r>
              <w:rPr>
                <w:b/>
              </w:rPr>
              <w:t>[Reported — obtain the order copy and W.P. number]</w:t>
            </w:r>
          </w:p>
        </w:tc>
        <w:tc>
          <w:tcPr>
            <w:tcW w:type="dxa" w:w="3120"/>
          </w:tcPr>
          <w:p>
            <w:r/>
            <w:r>
              <w:t xml:space="preserve">Goods imported under a </w:t>
            </w:r>
            <w:r>
              <w:rPr>
                <w:b/>
              </w:rPr>
              <w:t>warehousing Bill of Entry dated 03.01.2025 for SEZ import, Z-type clearance</w:t>
            </w:r>
            <w:r>
              <w:t xml:space="preserve">; investigation; samples sent to CRCL; </w:t>
            </w:r>
            <w:r>
              <w:rPr>
                <w:b/>
              </w:rPr>
              <w:t>seizure on 18.02.2025</w:t>
            </w:r>
            <w:r>
              <w:t xml:space="preserve"> for alleged misclassification; DRI enquiry at Delhi. Court did not send the importer away: it permitted </w:t>
            </w:r>
            <w:r>
              <w:rPr>
                <w:b/>
              </w:rPr>
              <w:t>re-export on a bond for the differential duty and a bank guarantee of 20% of the re-determined value, within twelve days</w:t>
            </w:r>
            <w:r>
              <w:t xml:space="preserve">, following </w:t>
            </w:r>
            <w:r>
              <w:rPr>
                <w:i/>
              </w:rPr>
              <w:t>Siemens Ltd. v. Collector of Customs</w:t>
            </w:r>
            <w:r>
              <w:t xml:space="preserve">, 1999 (113) E.L.T. 776 (SC), </w:t>
            </w:r>
            <w:r>
              <w:rPr>
                <w:i/>
              </w:rPr>
              <w:t>Sankar Pandi v. Union of India</w:t>
            </w:r>
            <w:r>
              <w:t xml:space="preserve">, 2002 (141) E.L.T. 635, and </w:t>
            </w:r>
            <w:r>
              <w:rPr>
                <w:i/>
              </w:rPr>
              <w:t>Asst. Commr. of Customs (Imports), Tuticorin v. Mahadev Enterprises</w:t>
            </w:r>
            <w:r>
              <w:t xml:space="preserve">, 2023 (3) CENTAX 8. </w:t>
            </w:r>
            <w:r>
              <w:rPr>
                <w:b/>
              </w:rPr>
              <w:t>This is the closest reported Madras case on a Z-type BoE.</w:t>
            </w:r>
          </w:p>
        </w:tc>
      </w:tr>
      <w:tr>
        <w:tc>
          <w:tcPr>
            <w:tcW w:type="dxa" w:w="3120"/>
          </w:tcPr>
          <w:p>
            <w:r/>
            <w:r>
              <w:t>*</w:t>
            </w:r>
            <w:r>
              <w:rPr>
                <w:b/>
              </w:rPr>
              <w:t>Nova Enterprises v. Addl. Commissioner of Customs (SEZ-FTWZ), Preventive Commissionerate</w:t>
            </w:r>
            <w:r>
              <w:t>*</w:t>
            </w:r>
          </w:p>
        </w:tc>
        <w:tc>
          <w:tcPr>
            <w:tcW w:type="dxa" w:w="3120"/>
          </w:tcPr>
          <w:p>
            <w:r/>
            <w:r>
              <w:t xml:space="preserve">Madras HC, W.P. No. 29074 of 2025, dated 23.09.2025, N. Anand Venkatesh J. </w:t>
            </w:r>
            <w:r>
              <w:rPr>
                <w:b/>
              </w:rPr>
              <w:t>[Verified — order text read]</w:t>
            </w:r>
          </w:p>
        </w:tc>
        <w:tc>
          <w:tcPr>
            <w:tcW w:type="dxa" w:w="3120"/>
          </w:tcPr>
          <w:p>
            <w:r/>
            <w:r>
              <w:t xml:space="preserve">Challenge to conditions in a </w:t>
            </w:r>
            <w:r>
              <w:rPr>
                <w:b/>
              </w:rPr>
              <w:t>Provisional Release Order dated 29.07.2025</w:t>
            </w:r>
            <w:r>
              <w:t xml:space="preserve"> in F.No. GEN/ADJ/Misc/353/2025-SEZ-FTWZ covering eight Bills of Entry; conditions modified on </w:t>
            </w:r>
            <w:r>
              <w:rPr>
                <w:i/>
              </w:rPr>
              <w:t>Navshakti Industries</w:t>
            </w:r>
            <w:r>
              <w:t>, 2011 (269) E.L.T. (A-146) (SC) read with the Customs (Provisional Duty Assessment) Regulations, 1963 and past contemporaneous clearances assessed by the proper officer.</w:t>
            </w:r>
          </w:p>
        </w:tc>
      </w:tr>
      <w:tr>
        <w:tc>
          <w:tcPr>
            <w:tcW w:type="dxa" w:w="3120"/>
          </w:tcPr>
          <w:p>
            <w:r/>
            <w:r>
              <w:t>*</w:t>
            </w:r>
            <w:r>
              <w:rPr>
                <w:b/>
              </w:rPr>
              <w:t>Hi Rexine v. Deputy Director, DRI (Hqrs.) and others</w:t>
            </w:r>
            <w:r>
              <w:t>*</w:t>
            </w:r>
          </w:p>
        </w:tc>
        <w:tc>
          <w:tcPr>
            <w:tcW w:type="dxa" w:w="3120"/>
          </w:tcPr>
          <w:p>
            <w:r/>
            <w:r>
              <w:t xml:space="preserve">Madras HC, W.P. No. 15944 of 2025, dated 02.06.2025, Abdul Quddhose J. </w:t>
            </w:r>
            <w:r>
              <w:rPr>
                <w:b/>
              </w:rPr>
              <w:t>[Verified — order text read]</w:t>
            </w:r>
          </w:p>
        </w:tc>
        <w:tc>
          <w:tcPr>
            <w:tcW w:type="dxa" w:w="3120"/>
          </w:tcPr>
          <w:p>
            <w:r/>
            <w:r>
              <w:rPr>
                <w:b/>
              </w:rPr>
              <w:t>Stage 1 of the chain — a domestic-clearance request converted into a s.110A proceeding.</w:t>
            </w:r>
            <w:r>
              <w:t xml:space="preserve"> PVC Coated Fabric on B/E No. 7882362 dated 20.01.2025 moved to a SEZ unit; petitioner "approached the respondent for clearance of the goods from the Special Economic Zone unit" and was told DRI had begun an investigation and "only after obtaining the test report, a decision would be taken for release of the goods"; goods detained by </w:t>
            </w:r>
            <w:r>
              <w:rPr>
                <w:b/>
              </w:rPr>
              <w:t>panchanama dated 25.01.2025</w:t>
            </w:r>
            <w:r>
              <w:t xml:space="preserve">. Revenue objected that the representation on record "is not for provisional release of the imported goods as per the provisions of Section 110A ... but, it is for the final assessment". Court directed a </w:t>
            </w:r>
            <w:r>
              <w:rPr>
                <w:b/>
              </w:rPr>
              <w:t>fresh representation for provisional release within one week</w:t>
            </w:r>
            <w:r>
              <w:t xml:space="preserve">, and final orders on merits within </w:t>
            </w:r>
            <w:r>
              <w:rPr>
                <w:b/>
              </w:rPr>
              <w:t>four weeks</w:t>
            </w:r>
            <w:r>
              <w:t xml:space="preserve">, giving due consideration to </w:t>
            </w:r>
            <w:r>
              <w:rPr>
                <w:i/>
              </w:rPr>
              <w:t>Navshakti Industries Pvt. Ltd. v. Commissioner of Customs, Delhi</w:t>
            </w:r>
            <w:r>
              <w:t xml:space="preserve">, </w:t>
            </w:r>
            <w:r>
              <w:rPr>
                <w:b/>
              </w:rPr>
              <w:t>2011 (267) E.L.T. 483 (Del.)</w:t>
            </w:r>
            <w:r>
              <w:t xml:space="preserve">, affirmed </w:t>
            </w:r>
            <w:r>
              <w:rPr>
                <w:b/>
              </w:rPr>
              <w:t>2011 (269) E.L.T. (A-146) (SC)</w:t>
            </w:r>
            <w:r>
              <w:t xml:space="preserve">, and to </w:t>
            </w:r>
            <w:r>
              <w:rPr>
                <w:b/>
              </w:rPr>
              <w:t>Regulation 2 of the Customs (Provisional Duty Assessment) Regulations, 2011</w:t>
            </w:r>
            <w:r>
              <w:t>.</w:t>
            </w:r>
          </w:p>
        </w:tc>
      </w:tr>
      <w:tr>
        <w:tc>
          <w:tcPr>
            <w:tcW w:type="dxa" w:w="3120"/>
          </w:tcPr>
          <w:p>
            <w:r/>
            <w:r>
              <w:t>*</w:t>
            </w:r>
            <w:r>
              <w:rPr>
                <w:b/>
              </w:rPr>
              <w:t>Hi Rexine v. Addl. Commissioner of Customs (SEZ-FTWZ), Preventive Commissionerate</w:t>
            </w:r>
            <w:r>
              <w:t>*</w:t>
            </w:r>
          </w:p>
        </w:tc>
        <w:tc>
          <w:tcPr>
            <w:tcW w:type="dxa" w:w="3120"/>
          </w:tcPr>
          <w:p>
            <w:r/>
            <w:r>
              <w:t xml:space="preserve">Madras HC, W.P. No. 28694 of 2025, dated 23.09.2025, N. Anand Venkatesh J. </w:t>
            </w:r>
            <w:r>
              <w:rPr>
                <w:b/>
              </w:rPr>
              <w:t>[Verified — order text read]</w:t>
            </w:r>
          </w:p>
        </w:tc>
        <w:tc>
          <w:tcPr>
            <w:tcW w:type="dxa" w:w="3120"/>
          </w:tcPr>
          <w:p>
            <w:r/>
            <w:r>
              <w:rPr>
                <w:b/>
              </w:rPr>
              <w:t>Stage 2 — onerous conditions cut down.</w:t>
            </w:r>
            <w:r>
              <w:t xml:space="preserve"> PR order dated 15.07.2025 (F.No. GEN/ADJ/Misc/314/2025-SEZ-FTWZ) demanded </w:t>
            </w:r>
            <w:r>
              <w:rPr>
                <w:b/>
              </w:rPr>
              <w:t>BG Rs. 10,00,000 + bond equal to re-determined value Rs. 35,00,000</w:t>
            </w:r>
            <w:r>
              <w:t xml:space="preserve">. Revenue's objection that an appeal lay was not accepted as a bar. Held: "The respondent has exercised jurisdiction under Section 110A"; the Court "must only see as to whether the conditions imposed ... require the interference of this Court". Applying </w:t>
            </w:r>
            <w:r>
              <w:rPr>
                <w:b/>
              </w:rPr>
              <w:t>W.P. No. 32472 of 2025 (18.09.2025)</w:t>
            </w:r>
            <w:r>
              <w:t xml:space="preserve"> — which followed *</w:t>
            </w:r>
            <w:r>
              <w:rPr>
                <w:b/>
              </w:rPr>
              <w:t>Green Line v. Commissioner of Customs, Chennai-IV</w:t>
            </w:r>
            <w:r>
              <w:rPr>
                <w:i/>
              </w:rPr>
              <w:t xml:space="preserve">, 2016 (340) E.L.T. 140 (Mad.), affirmed in </w:t>
            </w:r>
            <w:r>
              <w:rPr>
                <w:i/>
              </w:rPr>
              <w:t>W.A. No. 1243 of 2016 (25.10.2016)</w:t>
            </w:r>
            <w:r>
              <w:rPr>
                <w:i/>
              </w:rPr>
              <w:t xml:space="preserve">, and the DB in </w:t>
            </w:r>
            <w:r>
              <w:rPr>
                <w:b/>
              </w:rPr>
              <w:t>Commissioner of Customs v. Sri Venkateshwara Paper Boards</w:t>
            </w:r>
            <w:r>
              <w:rPr>
                <w:i/>
              </w:rPr>
              <w:t xml:space="preserve">, 2022 (379) E.L.T. 310 (Mad.) (BG towards redemption fine and penalty "would be harsh as the show-cause notice is yet to be adjudicated") — conditions modified to: </w:t>
            </w:r>
            <w:r>
              <w:rPr>
                <w:i/>
              </w:rPr>
              <w:t>(a) remit entire duty as declared; (b) pay 50% of the differential duty; (c) bond for the re-determined value; (d) bond in place of the BG; release "within a period of seven days from the date of compliance"</w:t>
            </w:r>
            <w:r>
              <w:t>*. Note also that condition 1 of the PR order in W.P. 32472/2025 required the importer to "file the DTA Bill of Entry for provisional release for the re-determined value" — i.e. the T-Bill route is used as the vehicle for provisional release.</w:t>
            </w:r>
          </w:p>
        </w:tc>
      </w:tr>
      <w:tr>
        <w:tc>
          <w:tcPr>
            <w:tcW w:type="dxa" w:w="3120"/>
          </w:tcPr>
          <w:p>
            <w:r/>
            <w:r>
              <w:t>*</w:t>
            </w:r>
            <w:r>
              <w:rPr>
                <w:b/>
              </w:rPr>
              <w:t>Exim India Global</w:t>
            </w:r>
            <w:r>
              <w:t>* (PVC coated fabrics moved to an SEZ unit at Nandiyambakkam)</w:t>
            </w:r>
          </w:p>
        </w:tc>
        <w:tc>
          <w:tcPr>
            <w:tcW w:type="dxa" w:w="3120"/>
          </w:tcPr>
          <w:p>
            <w:r/>
            <w:r>
              <w:t xml:space="preserve">Madras HC, Sept. 2025 </w:t>
            </w:r>
            <w:r>
              <w:rPr>
                <w:b/>
              </w:rPr>
              <w:t>[Reported — legalera]</w:t>
            </w:r>
          </w:p>
        </w:tc>
        <w:tc>
          <w:tcPr>
            <w:tcW w:type="dxa" w:w="3120"/>
          </w:tcPr>
          <w:p>
            <w:r/>
            <w:r>
              <w:t xml:space="preserve">DRI investigation into cargo </w:t>
            </w:r>
            <w:r>
              <w:rPr>
                <w:b/>
              </w:rPr>
              <w:t>already inside the SEZ</w:t>
            </w:r>
            <w:r>
              <w:t xml:space="preserve">; Addl. Commissioner (SEZ-FTWZ) demanded BG of Rs. 2.78 crore and bond on a re-determined value of Rs. 9.63 crore; conditions held excessive; release directed </w:t>
            </w:r>
            <w:r>
              <w:rPr>
                <w:b/>
              </w:rPr>
              <w:t>within 7 days</w:t>
            </w:r>
            <w:r>
              <w:t xml:space="preserve"> on declared duty + 50% of differential duty + bonds in lieu of BG. Jurisdiction to act inside the SEZ was not questioned.</w:t>
            </w:r>
          </w:p>
        </w:tc>
      </w:tr>
      <w:tr>
        <w:tc>
          <w:tcPr>
            <w:tcW w:type="dxa" w:w="3120"/>
          </w:tcPr>
          <w:p>
            <w:r/>
            <w:r>
              <w:t>*</w:t>
            </w:r>
            <w:r>
              <w:rPr>
                <w:b/>
              </w:rPr>
              <w:t>A.R. Fabrics Pvt. Ltd. v. Principal Commissioner of Customs (Chennai-III) (Preventive), MEPZ SEZ, Tambaram &amp; ADG, DRI</w:t>
            </w:r>
            <w:r>
              <w:t>*</w:t>
            </w:r>
          </w:p>
        </w:tc>
        <w:tc>
          <w:tcPr>
            <w:tcW w:type="dxa" w:w="3120"/>
          </w:tcPr>
          <w:p>
            <w:r/>
            <w:r>
              <w:t xml:space="preserve">Madras HC, W.P. No. 26414 of 2025, reserved 23.09.2025, delivered 26.09.2025 </w:t>
            </w:r>
            <w:r>
              <w:rPr>
                <w:b/>
              </w:rPr>
              <w:t>[Verified — order text read]</w:t>
            </w:r>
          </w:p>
        </w:tc>
        <w:tc>
          <w:tcPr>
            <w:tcW w:type="dxa" w:w="3120"/>
          </w:tcPr>
          <w:p>
            <w:r/>
            <w:r>
              <w:t xml:space="preserve">Release sought of goods covered by B/E No. 7735351 dated 01.10.2024; seizure memo dated 07.04.2025; </w:t>
            </w:r>
            <w:r>
              <w:rPr>
                <w:b/>
              </w:rPr>
              <w:t>re-export permitted on conditions</w:t>
            </w:r>
            <w:r>
              <w:t xml:space="preserve"> notwithstanding the pending DRI investigation.</w:t>
            </w:r>
          </w:p>
        </w:tc>
      </w:tr>
      <w:tr>
        <w:tc>
          <w:tcPr>
            <w:tcW w:type="dxa" w:w="3120"/>
          </w:tcPr>
          <w:p>
            <w:r/>
            <w:r>
              <w:t>*</w:t>
            </w:r>
            <w:r>
              <w:rPr>
                <w:b/>
              </w:rPr>
              <w:t>Principal Commissioner of Customs-III (SIIB) v. B.V. Leathers</w:t>
            </w:r>
            <w:r>
              <w:t>*</w:t>
            </w:r>
          </w:p>
        </w:tc>
        <w:tc>
          <w:tcPr>
            <w:tcW w:type="dxa" w:w="3120"/>
          </w:tcPr>
          <w:p>
            <w:r/>
            <w:r>
              <w:t xml:space="preserve">Madras HC (DB), 19.09.2017 </w:t>
            </w:r>
            <w:r>
              <w:rPr>
                <w:b/>
              </w:rPr>
              <w:t>[Reported]</w:t>
            </w:r>
          </w:p>
        </w:tc>
        <w:tc>
          <w:tcPr>
            <w:tcW w:type="dxa" w:w="3120"/>
          </w:tcPr>
          <w:p>
            <w:r/>
            <w:r>
              <w:t>This very SIIB formation; detention for testing to be minimised; provisional release framework of Circular No. 01/2011-Cus. sustained.</w:t>
            </w:r>
          </w:p>
        </w:tc>
      </w:tr>
      <w:tr>
        <w:tc>
          <w:tcPr>
            <w:tcW w:type="dxa" w:w="3120"/>
          </w:tcPr>
          <w:p>
            <w:r/>
            <w:r>
              <w:t>*</w:t>
            </w:r>
            <w:r>
              <w:rPr>
                <w:b/>
              </w:rPr>
              <w:t>J.K. Exim v. Principal Commissioner of Customs</w:t>
            </w:r>
            <w:r>
              <w:t>*</w:t>
            </w:r>
          </w:p>
        </w:tc>
        <w:tc>
          <w:tcPr>
            <w:tcW w:type="dxa" w:w="3120"/>
          </w:tcPr>
          <w:p>
            <w:r/>
            <w:r>
              <w:t xml:space="preserve">Madras HC, W.P. No. 36866 of 2016, 19.01.2017, reported </w:t>
            </w:r>
            <w:r>
              <w:rPr>
                <w:b/>
              </w:rPr>
              <w:t>2017 (348) E.L.T. 612 (Mad.)</w:t>
            </w:r>
            <w:r>
              <w:t xml:space="preserve"> </w:t>
            </w:r>
            <w:r>
              <w:rPr>
                <w:b/>
              </w:rPr>
              <w:t>[Reported — obtain the reported text before citing]</w:t>
            </w:r>
          </w:p>
        </w:tc>
        <w:tc>
          <w:tcPr>
            <w:tcW w:type="dxa" w:w="3120"/>
          </w:tcPr>
          <w:p>
            <w:r/>
            <w:r>
              <w:t xml:space="preserve">Chennai SIIB; goods detained Nov. 2015; </w:t>
            </w:r>
            <w:r>
              <w:rPr>
                <w:b/>
              </w:rPr>
              <w:t>seizure mahazar dated 11.02.2016 not communicated until June 2016</w:t>
            </w:r>
            <w:r>
              <w:t xml:space="preserve">; SCN 05.08.2016; s.110(2) and Circular No. 01/2011 discipline applied. Reported to contain the observation that </w:t>
            </w:r>
            <w:r>
              <w:rPr>
                <w:i/>
              </w:rPr>
              <w:t>"the detention of goods is no different from seizure"</w:t>
            </w:r>
            <w:r>
              <w:t xml:space="preserve">, which is why s.110A exists even before a show cause notice — </w:t>
            </w:r>
            <w:r>
              <w:rPr>
                <w:b/>
              </w:rPr>
              <w:t>verify the paragraph before quoting.</w:t>
            </w:r>
          </w:p>
        </w:tc>
      </w:tr>
    </w:tbl>
    <w:p/>
    <w:p>
      <w:pPr>
        <w:jc w:val="both"/>
      </w:pPr>
      <w:r>
        <w:rPr>
          <w:b/>
        </w:rPr>
        <w:t>Realistic reading of the Madras line:</w:t>
      </w:r>
      <w:r>
        <w:t xml:space="preserve"> in this exact fact-pattern the Court's route is </w:t>
      </w:r>
      <w:r>
        <w:rPr>
          <w:b/>
        </w:rPr>
        <w:t>s.110A / release on terms</w:t>
      </w:r>
      <w:r>
        <w:t>, not invalidation for want of jurisdiction. Lead with s.110/110A, the absence of any written order, the SOP and Article 14; keep the SEZ jurisdiction plea as a serious secondary ground and as a call for the record.</w:t>
      </w:r>
    </w:p>
    <w:p>
      <w:pPr>
        <w:pStyle w:val="Heading3"/>
      </w:pPr>
      <w:r>
        <w:t>B. No power of "detention" outside s.110</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r>
              <w:rPr>
                <w:b/>
              </w:rPr>
              <w:t>Case</w:t>
            </w:r>
          </w:p>
        </w:tc>
        <w:tc>
          <w:tcPr>
            <w:tcW w:type="dxa" w:w="3120"/>
          </w:tcPr>
          <w:p>
            <w:r>
              <w:rPr>
                <w:b/>
              </w:rPr>
            </w:r>
            <w:r>
              <w:rPr>
                <w:b/>
              </w:rPr>
              <w:t>Citation</w:t>
            </w:r>
          </w:p>
        </w:tc>
        <w:tc>
          <w:tcPr>
            <w:tcW w:type="dxa" w:w="3120"/>
          </w:tcPr>
          <w:p>
            <w:r>
              <w:rPr>
                <w:b/>
              </w:rPr>
            </w:r>
            <w:r>
              <w:rPr>
                <w:b/>
              </w:rPr>
              <w:t>Holding</w:t>
            </w:r>
          </w:p>
        </w:tc>
      </w:tr>
      <w:tr>
        <w:tc>
          <w:tcPr>
            <w:tcW w:type="dxa" w:w="3120"/>
          </w:tcPr>
          <w:p>
            <w:r/>
            <w:r>
              <w:t>*</w:t>
            </w:r>
            <w:r>
              <w:rPr>
                <w:b/>
              </w:rPr>
              <w:t>Jatinder Kumar Sachdeva v. Union of India</w:t>
            </w:r>
            <w:r>
              <w:t>*</w:t>
            </w:r>
          </w:p>
        </w:tc>
        <w:tc>
          <w:tcPr>
            <w:tcW w:type="dxa" w:w="3120"/>
          </w:tcPr>
          <w:p>
            <w:r/>
            <w:r>
              <w:t xml:space="preserve">Delhi HC, 08.12.2016 </w:t>
            </w:r>
            <w:r>
              <w:rPr>
                <w:b/>
              </w:rPr>
              <w:t>[Verified]</w:t>
            </w:r>
          </w:p>
        </w:tc>
        <w:tc>
          <w:tcPr>
            <w:tcW w:type="dxa" w:w="3120"/>
          </w:tcPr>
          <w:p>
            <w:r/>
            <w:r>
              <w:t xml:space="preserve">There is </w:t>
            </w:r>
            <w:r>
              <w:rPr>
                <w:b/>
              </w:rPr>
              <w:t>no provision for "detention"</w:t>
            </w:r>
            <w:r>
              <w:t xml:space="preserve"> in the Customs Act; the Department cannot, "under the garb of detention", escape the consequences that follow a seizure.</w:t>
            </w:r>
          </w:p>
        </w:tc>
      </w:tr>
      <w:tr>
        <w:tc>
          <w:tcPr>
            <w:tcW w:type="dxa" w:w="3120"/>
          </w:tcPr>
          <w:p>
            <w:r/>
            <w:r>
              <w:t>*</w:t>
            </w:r>
            <w:r>
              <w:rPr>
                <w:b/>
              </w:rPr>
              <w:t>Exim Incorporation v. Union of India</w:t>
            </w:r>
            <w:r>
              <w:t>*</w:t>
            </w:r>
          </w:p>
        </w:tc>
        <w:tc>
          <w:tcPr>
            <w:tcW w:type="dxa" w:w="3120"/>
          </w:tcPr>
          <w:p>
            <w:r/>
            <w:r>
              <w:t xml:space="preserve">Bombay HC (DB), </w:t>
            </w:r>
            <w:r>
              <w:rPr>
                <w:b/>
              </w:rPr>
              <w:t>W.P. No. 1898 of 2020</w:t>
            </w:r>
            <w:r>
              <w:t xml:space="preserve">, 09.12.2020 </w:t>
            </w:r>
            <w:r>
              <w:rPr>
                <w:b/>
              </w:rPr>
              <w:t>[Verified — primary text read]</w:t>
            </w:r>
          </w:p>
        </w:tc>
        <w:tc>
          <w:tcPr>
            <w:tcW w:type="dxa" w:w="3120"/>
          </w:tcPr>
          <w:p>
            <w:r/>
            <w:r>
              <w:t xml:space="preserve">Two bills of entry at Nhava Sheva marked for 100% examination; DRI Kolkata insisted on the proprietor's presence, the Joint Commissioner refused to let the representative participate, and the </w:t>
            </w:r>
            <w:r>
              <w:rPr>
                <w:b/>
              </w:rPr>
              <w:t>request for warehousing under s.49 "was also not responded to"</w:t>
            </w:r>
            <w:r>
              <w:t>. Held (paras 21, 26.1, 31, 32): "we could not come across any such provision authorizing detention of goods"; even on the department's own Central Apprising Manual "detention would be at a stage post seizure ... admittedly there is no seizure. Therefore, there can be no detention"; "Detention cannot be taken resort to or the customs authorities cannot take the plea of detention to avoid consequences of seizure under sub section (2) of section 110"; "</w:t>
            </w:r>
            <w:r>
              <w:rPr>
                <w:b/>
              </w:rPr>
              <w:t>First illegality is they have detained the goods without affecting seizure</w:t>
            </w:r>
            <w:r>
              <w:t>", the second being breach of the s.110(2) time limit. On s.47: clearance "may take some time but certainly the goods cannot be detained for an indefinite period in the name of verification". Release directed forthwith and in any case within two weeks.</w:t>
            </w:r>
          </w:p>
        </w:tc>
      </w:tr>
      <w:tr>
        <w:tc>
          <w:tcPr>
            <w:tcW w:type="dxa" w:w="3120"/>
          </w:tcPr>
          <w:p>
            <w:r/>
            <w:r>
              <w:t>*</w:t>
            </w:r>
            <w:r>
              <w:rPr>
                <w:b/>
              </w:rPr>
              <w:t>Union of India v. Jatin Ahuja</w:t>
            </w:r>
            <w:r>
              <w:t>*</w:t>
            </w:r>
          </w:p>
        </w:tc>
        <w:tc>
          <w:tcPr>
            <w:tcW w:type="dxa" w:w="3120"/>
          </w:tcPr>
          <w:p>
            <w:r/>
            <w:r>
              <w:t xml:space="preserve">SC, Civil Appeal No. 3489 of 2024, 11.09.2025 </w:t>
            </w:r>
            <w:r>
              <w:rPr>
                <w:b/>
              </w:rPr>
              <w:t>[Reported]</w:t>
            </w:r>
          </w:p>
        </w:tc>
        <w:tc>
          <w:tcPr>
            <w:tcW w:type="dxa" w:w="3120"/>
          </w:tcPr>
          <w:p>
            <w:r/>
            <w:r>
              <w:t>s.110(2) time discipline.</w:t>
            </w:r>
          </w:p>
        </w:tc>
      </w:tr>
      <w:tr>
        <w:tc>
          <w:tcPr>
            <w:tcW w:type="dxa" w:w="3120"/>
          </w:tcPr>
          <w:p>
            <w:r/>
            <w:r>
              <w:t>*</w:t>
            </w:r>
            <w:r>
              <w:rPr>
                <w:b/>
              </w:rPr>
              <w:t>S.J. Fabrics Pvt. Ltd. v. Union of India</w:t>
            </w:r>
            <w:r>
              <w:t>*</w:t>
            </w:r>
          </w:p>
        </w:tc>
        <w:tc>
          <w:tcPr>
            <w:tcW w:type="dxa" w:w="3120"/>
          </w:tcPr>
          <w:p>
            <w:r/>
            <w:r>
              <w:t xml:space="preserve">Calcutta HC, 19.04.2011 </w:t>
            </w:r>
            <w:r>
              <w:rPr>
                <w:b/>
              </w:rPr>
              <w:t>[Reported]</w:t>
            </w:r>
          </w:p>
        </w:tc>
        <w:tc>
          <w:tcPr>
            <w:tcW w:type="dxa" w:w="3120"/>
          </w:tcPr>
          <w:p>
            <w:r/>
            <w:r>
              <w:t>Detention/seizure safeguards.</w:t>
            </w:r>
          </w:p>
        </w:tc>
      </w:tr>
      <w:tr>
        <w:tc>
          <w:tcPr>
            <w:tcW w:type="dxa" w:w="3120"/>
          </w:tcPr>
          <w:p>
            <w:r/>
            <w:r>
              <w:t>*</w:t>
            </w:r>
            <w:r>
              <w:rPr>
                <w:b/>
              </w:rPr>
              <w:t>Om Udyog v. Union of India</w:t>
            </w:r>
            <w:r>
              <w:t>*</w:t>
            </w:r>
          </w:p>
        </w:tc>
        <w:tc>
          <w:tcPr>
            <w:tcW w:type="dxa" w:w="3120"/>
          </w:tcPr>
          <w:p>
            <w:r/>
            <w:r>
              <w:t xml:space="preserve">P&amp;H HC (DB), </w:t>
            </w:r>
            <w:r>
              <w:rPr>
                <w:b/>
              </w:rPr>
              <w:t>2010 (254) E.L.T. 547</w:t>
            </w:r>
            <w:r>
              <w:t xml:space="preserve"> </w:t>
            </w:r>
            <w:r>
              <w:rPr>
                <w:b/>
              </w:rPr>
              <w:t>[Verified via Exim Incorporation, paras 27 and 33]</w:t>
            </w:r>
          </w:p>
        </w:tc>
        <w:tc>
          <w:tcPr>
            <w:tcW w:type="dxa" w:w="3120"/>
          </w:tcPr>
          <w:p>
            <w:r/>
            <w:r>
              <w:t>"in no case, non-clearance of goods for months can be justified"; "no authority can plead unlimited power of non-clearance for its own incompetence as a justification beyond reasonable period"; officers "are not immune from accountability against abuse of power by detaining goods for indefinite period".</w:t>
            </w:r>
          </w:p>
        </w:tc>
      </w:tr>
      <w:tr>
        <w:tc>
          <w:tcPr>
            <w:tcW w:type="dxa" w:w="3120"/>
          </w:tcPr>
          <w:p>
            <w:r/>
            <w:r>
              <w:t>*</w:t>
            </w:r>
            <w:r>
              <w:rPr>
                <w:b/>
              </w:rPr>
              <w:t>Ramnarain Bishwanath v. Collector of Customs, Calcutta</w:t>
            </w:r>
            <w:r>
              <w:t>*</w:t>
            </w:r>
          </w:p>
        </w:tc>
        <w:tc>
          <w:tcPr>
            <w:tcW w:type="dxa" w:w="3120"/>
          </w:tcPr>
          <w:p>
            <w:r/>
            <w:r>
              <w:t xml:space="preserve">CEGAT, </w:t>
            </w:r>
            <w:r>
              <w:rPr>
                <w:b/>
              </w:rPr>
              <w:t>(1988) 34 E.L.T. 202</w:t>
            </w:r>
            <w:r>
              <w:t xml:space="preserve"> </w:t>
            </w:r>
            <w:r>
              <w:rPr>
                <w:b/>
              </w:rPr>
              <w:t>[Verified via Exim Incorporation, para 26]</w:t>
            </w:r>
          </w:p>
        </w:tc>
        <w:tc>
          <w:tcPr>
            <w:tcW w:type="dxa" w:w="3120"/>
          </w:tcPr>
          <w:p>
            <w:r/>
            <w:r>
              <w:t xml:space="preserve">The department's own Central Apprising Manual distinguishes 'detention' from 'seizure'; on that reading detention is a </w:t>
            </w:r>
            <w:r>
              <w:rPr>
                <w:b/>
              </w:rPr>
              <w:t>post-seizure</w:t>
            </w:r>
            <w:r>
              <w:t xml:space="preserve"> stage only.</w:t>
            </w:r>
          </w:p>
        </w:tc>
      </w:tr>
      <w:tr>
        <w:tc>
          <w:tcPr>
            <w:tcW w:type="dxa" w:w="3120"/>
          </w:tcPr>
          <w:p>
            <w:r/>
            <w:r>
              <w:t>*</w:t>
            </w:r>
            <w:r>
              <w:rPr>
                <w:b/>
              </w:rPr>
              <w:t>Mohd. Salman Khan v. Union of India</w:t>
            </w:r>
            <w:r>
              <w:t>*</w:t>
            </w:r>
          </w:p>
        </w:tc>
        <w:tc>
          <w:tcPr>
            <w:tcW w:type="dxa" w:w="3120"/>
          </w:tcPr>
          <w:p>
            <w:r/>
            <w:r>
              <w:t xml:space="preserve">Delhi HC, </w:t>
            </w:r>
            <w:r>
              <w:rPr>
                <w:b/>
              </w:rPr>
              <w:t>2016 (337) E.L.T. 513</w:t>
            </w:r>
            <w:r>
              <w:t xml:space="preserve"> </w:t>
            </w:r>
            <w:r>
              <w:rPr>
                <w:b/>
              </w:rPr>
              <w:t>[Verified via Exim Incorporation, para 28]</w:t>
            </w:r>
          </w:p>
        </w:tc>
        <w:tc>
          <w:tcPr>
            <w:tcW w:type="dxa" w:w="3120"/>
          </w:tcPr>
          <w:p>
            <w:r/>
            <w:r>
              <w:t xml:space="preserve">No provision permitting detention </w:t>
            </w:r>
            <w:r>
              <w:rPr>
                <w:b/>
              </w:rPr>
              <w:t>in lieu of</w:t>
            </w:r>
            <w:r>
              <w:t xml:space="preserve"> seizure; customs "cannot take shelter under the device of detention of goods in order to avoid the consequences flowing from seizure".</w:t>
            </w:r>
          </w:p>
        </w:tc>
      </w:tr>
      <w:tr>
        <w:tc>
          <w:tcPr>
            <w:tcW w:type="dxa" w:w="3120"/>
          </w:tcPr>
          <w:p>
            <w:r/>
            <w:r>
              <w:t>*</w:t>
            </w:r>
            <w:r>
              <w:rPr>
                <w:b/>
              </w:rPr>
              <w:t>Shiv Shakti Trading Co. v. Commissioner of Customs (Preventive)</w:t>
            </w:r>
            <w:r>
              <w:t>*</w:t>
            </w:r>
          </w:p>
        </w:tc>
        <w:tc>
          <w:tcPr>
            <w:tcW w:type="dxa" w:w="3120"/>
          </w:tcPr>
          <w:p>
            <w:r/>
            <w:r>
              <w:t xml:space="preserve">Delhi HC, </w:t>
            </w:r>
            <w:r>
              <w:rPr>
                <w:b/>
              </w:rPr>
              <w:t>(2016) 336 E.L.T. 415</w:t>
            </w:r>
            <w:r>
              <w:t xml:space="preserve"> </w:t>
            </w:r>
            <w:r>
              <w:rPr>
                <w:b/>
              </w:rPr>
              <w:t>[Verified via Exim Incorporation, para 29]</w:t>
            </w:r>
          </w:p>
        </w:tc>
        <w:tc>
          <w:tcPr>
            <w:tcW w:type="dxa" w:w="3120"/>
          </w:tcPr>
          <w:p>
            <w:r/>
            <w:r>
              <w:t xml:space="preserve">The s.110(2) time limit is </w:t>
            </w:r>
            <w:r>
              <w:rPr>
                <w:b/>
              </w:rPr>
              <w:t>sacrosanct</w:t>
            </w:r>
            <w:r>
              <w:t>; consequence of no notice in six months is immediate and unconditional release.</w:t>
            </w:r>
          </w:p>
        </w:tc>
      </w:tr>
      <w:tr>
        <w:tc>
          <w:tcPr>
            <w:tcW w:type="dxa" w:w="3120"/>
          </w:tcPr>
          <w:p>
            <w:r/>
            <w:r>
              <w:t>*</w:t>
            </w:r>
            <w:r>
              <w:rPr>
                <w:b/>
              </w:rPr>
              <w:t>Sai Incorporation v. Principal Commissioner of Customs (Import)</w:t>
            </w:r>
            <w:r>
              <w:t>*</w:t>
            </w:r>
          </w:p>
        </w:tc>
        <w:tc>
          <w:tcPr>
            <w:tcW w:type="dxa" w:w="3120"/>
          </w:tcPr>
          <w:p>
            <w:r/>
            <w:r>
              <w:t xml:space="preserve">Delhi HC, </w:t>
            </w:r>
            <w:r>
              <w:rPr>
                <w:b/>
              </w:rPr>
              <w:t>2016 (338) E.L.T. 578</w:t>
            </w:r>
            <w:r>
              <w:t xml:space="preserve"> </w:t>
            </w:r>
            <w:r>
              <w:rPr>
                <w:b/>
              </w:rPr>
              <w:t>[Verified via Exim Incorporation, para 30]</w:t>
            </w:r>
          </w:p>
        </w:tc>
        <w:tc>
          <w:tcPr>
            <w:tcW w:type="dxa" w:w="3120"/>
          </w:tcPr>
          <w:p>
            <w:r/>
            <w:r>
              <w:t>Failure to release after expiry of the s.110(2) period is unlawful; unconditional release directed.</w:t>
            </w:r>
          </w:p>
        </w:tc>
      </w:tr>
    </w:tbl>
    <w:p/>
    <w:p>
      <w:pPr>
        <w:jc w:val="both"/>
      </w:pPr>
      <w:r>
        <w:t xml:space="preserve">Caution: the express "no detention power" holdings are </w:t>
      </w:r>
      <w:r>
        <w:rPr>
          <w:b/>
        </w:rPr>
        <w:t>Delhi and Bombay</w:t>
      </w:r>
      <w:r>
        <w:t xml:space="preserve">, not Madras. Do not attribute that formulation to the Madras High Court; use </w:t>
      </w:r>
      <w:r>
        <w:rPr>
          <w:i/>
        </w:rPr>
        <w:t>J.K. Exim</w:t>
      </w:r>
      <w:r>
        <w:t xml:space="preserve"> and the s.110/110A discipline for the Madras position.</w:t>
      </w:r>
    </w:p>
    <w:p>
      <w:pPr>
        <w:pStyle w:val="Heading3"/>
      </w:pPr>
      <w:r>
        <w:t>C. Customs jurisdiction inside a SEZ — in our favour</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r>
              <w:rPr>
                <w:b/>
              </w:rPr>
              <w:t>Case</w:t>
            </w:r>
          </w:p>
        </w:tc>
        <w:tc>
          <w:tcPr>
            <w:tcW w:type="dxa" w:w="3120"/>
          </w:tcPr>
          <w:p>
            <w:r>
              <w:rPr>
                <w:b/>
              </w:rPr>
            </w:r>
            <w:r>
              <w:rPr>
                <w:b/>
              </w:rPr>
              <w:t>Citation</w:t>
            </w:r>
          </w:p>
        </w:tc>
        <w:tc>
          <w:tcPr>
            <w:tcW w:type="dxa" w:w="3120"/>
          </w:tcPr>
          <w:p>
            <w:r>
              <w:rPr>
                <w:b/>
              </w:rPr>
            </w:r>
            <w:r>
              <w:rPr>
                <w:b/>
              </w:rPr>
              <w:t>Holding</w:t>
            </w:r>
          </w:p>
        </w:tc>
      </w:tr>
      <w:tr>
        <w:tc>
          <w:tcPr>
            <w:tcW w:type="dxa" w:w="3120"/>
          </w:tcPr>
          <w:p>
            <w:r/>
            <w:r>
              <w:t>*</w:t>
            </w:r>
            <w:r>
              <w:rPr>
                <w:b/>
              </w:rPr>
              <w:t>M/s Meenakshi International v. CC (I&amp;G), New Delhi</w:t>
            </w:r>
            <w:r>
              <w:t>*</w:t>
            </w:r>
          </w:p>
        </w:tc>
        <w:tc>
          <w:tcPr>
            <w:tcW w:type="dxa" w:w="3120"/>
          </w:tcPr>
          <w:p>
            <w:r/>
            <w:r>
              <w:t xml:space="preserve">CESTAT, New Delhi, Customs Appeal No. 175 of 2011, Final Order No. 55037/2016 dated 16.11.2016 </w:t>
            </w:r>
            <w:r>
              <w:rPr>
                <w:b/>
              </w:rPr>
              <w:t>[Verified — order text read]</w:t>
            </w:r>
          </w:p>
        </w:tc>
        <w:tc>
          <w:tcPr>
            <w:tcW w:type="dxa" w:w="3120"/>
          </w:tcPr>
          <w:p>
            <w:r/>
            <w:r>
              <w:t>"</w:t>
            </w:r>
            <w:r>
              <w:rPr>
                <w:b/>
              </w:rPr>
              <w:t>We find that during the relevant period, the customs did not have necessary jurisdiction within the territory of Special Economic Zone</w:t>
            </w:r>
            <w:r>
              <w:t>… present proceedings initiated by the customs were beyond jurisdiction. Therefore, impugned order is without proper authority of law." Non-observance of ss.21–22 SEZ Act and the overriding effect of s.51 were part of the accepted case.</w:t>
            </w:r>
          </w:p>
        </w:tc>
      </w:tr>
      <w:tr>
        <w:tc>
          <w:tcPr>
            <w:tcW w:type="dxa" w:w="3120"/>
          </w:tcPr>
          <w:p>
            <w:r/>
            <w:r>
              <w:t>*</w:t>
            </w:r>
            <w:r>
              <w:rPr>
                <w:b/>
              </w:rPr>
              <w:t>Bharat (Bharti) J. Gandhi v. Union of India</w:t>
            </w:r>
            <w:r>
              <w:t>*</w:t>
            </w:r>
          </w:p>
        </w:tc>
        <w:tc>
          <w:tcPr>
            <w:tcW w:type="dxa" w:w="3120"/>
          </w:tcPr>
          <w:p>
            <w:r/>
            <w:r>
              <w:t xml:space="preserve">Gujarat HC, 2010 (257) E.L.T. 168 (Guj.) (order of 07/08.12.2009) </w:t>
            </w:r>
            <w:r>
              <w:rPr>
                <w:b/>
              </w:rPr>
              <w:t>[Reported]</w:t>
            </w:r>
          </w:p>
        </w:tc>
        <w:tc>
          <w:tcPr>
            <w:tcW w:type="dxa" w:w="3120"/>
          </w:tcPr>
          <w:p>
            <w:r/>
            <w:r>
              <w:t>"</w:t>
            </w:r>
            <w:r>
              <w:rPr>
                <w:b/>
              </w:rPr>
              <w:t>The Customs authorities seems to have been rendered functus officio so far as the matter pertaining to the conduct of a unit situated in SEZ is concerned</w:t>
            </w:r>
            <w:r>
              <w:t xml:space="preserve">"; applying </w:t>
            </w:r>
            <w:r>
              <w:rPr>
                <w:i/>
              </w:rPr>
              <w:t>Whirlpool Corporation v. Registrar of Trade Marks</w:t>
            </w:r>
            <w:r>
              <w:t>, A.I.R. 1999 SC 22, an authority must first satisfy the Court of its jurisdiction to issue a show cause notice, "otherwise, the entire object and purpose of establishment of Special Economic Zone will stand frustrated."</w:t>
            </w:r>
          </w:p>
        </w:tc>
      </w:tr>
      <w:tr>
        <w:tc>
          <w:tcPr>
            <w:tcW w:type="dxa" w:w="3120"/>
          </w:tcPr>
          <w:p>
            <w:r/>
            <w:r>
              <w:t>*</w:t>
            </w:r>
            <w:r>
              <w:rPr>
                <w:b/>
              </w:rPr>
              <w:t>Morgan Tectronics Ltd. v. Commissioner of Customs, New Delhi</w:t>
            </w:r>
            <w:r>
              <w:t>*</w:t>
            </w:r>
          </w:p>
        </w:tc>
        <w:tc>
          <w:tcPr>
            <w:tcW w:type="dxa" w:w="3120"/>
          </w:tcPr>
          <w:p>
            <w:r/>
            <w:r>
              <w:t xml:space="preserve">(316) E.L.T. 276 (Tri.-Del.) — </w:t>
            </w:r>
            <w:r>
              <w:rPr>
                <w:b/>
              </w:rPr>
              <w:t>year cited variously as 2005 and 2015; verify</w:t>
            </w:r>
            <w:r>
              <w:t xml:space="preserve"> </w:t>
            </w:r>
            <w:r>
              <w:rPr>
                <w:b/>
              </w:rPr>
              <w:t>[Reported]</w:t>
            </w:r>
          </w:p>
        </w:tc>
        <w:tc>
          <w:tcPr>
            <w:tcW w:type="dxa" w:w="3120"/>
          </w:tcPr>
          <w:p>
            <w:r/>
            <w:r>
              <w:t xml:space="preserve">Para 8: by s.53(1) the SEZ is deemed to be territory outside the customs territory and the goods were meant for the SEZ unit; the </w:t>
            </w:r>
            <w:r>
              <w:rPr>
                <w:b/>
              </w:rPr>
              <w:t>Commissioner of Customs, Air Cargo, New Delhi had no jurisdiction</w:t>
            </w:r>
            <w:r>
              <w:t xml:space="preserve"> to confiscate them — only the Customs officers </w:t>
            </w:r>
            <w:r>
              <w:rPr>
                <w:b/>
              </w:rPr>
              <w:t>in the SEZ</w:t>
            </w:r>
            <w:r>
              <w:t xml:space="preserve"> could act. Directly useful for Writ No. 1 (ACC formation acting on SEZ-destined cargo).</w:t>
            </w:r>
          </w:p>
        </w:tc>
      </w:tr>
      <w:tr>
        <w:tc>
          <w:tcPr>
            <w:tcW w:type="dxa" w:w="3120"/>
          </w:tcPr>
          <w:p>
            <w:r/>
            <w:r>
              <w:t>*</w:t>
            </w:r>
            <w:r>
              <w:rPr>
                <w:b/>
              </w:rPr>
              <w:t>Imran Ahmed v. Commissioner of Customs</w:t>
            </w:r>
            <w:r>
              <w:t>*</w:t>
            </w:r>
          </w:p>
        </w:tc>
        <w:tc>
          <w:tcPr>
            <w:tcW w:type="dxa" w:w="3120"/>
          </w:tcPr>
          <w:p>
            <w:r/>
            <w:r>
              <w:t xml:space="preserve">CESTAT Allahabad, 2018 </w:t>
            </w:r>
            <w:r>
              <w:rPr>
                <w:b/>
              </w:rPr>
              <w:t>[To verify]</w:t>
            </w:r>
          </w:p>
        </w:tc>
        <w:tc>
          <w:tcPr>
            <w:tcW w:type="dxa" w:w="3120"/>
          </w:tcPr>
          <w:p>
            <w:r/>
            <w:r>
              <w:t>Reported to hold that "Customs officers have no jurisdiction to seize the goods in S.E.Z. area"; seizure, confiscation and demand set aside.</w:t>
            </w:r>
          </w:p>
        </w:tc>
      </w:tr>
    </w:tbl>
    <w:p/>
    <w:p>
      <w:pPr>
        <w:pStyle w:val="Heading3"/>
      </w:pPr>
      <w:r>
        <w:t>D. The adverse authority to be met</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r>
              <w:rPr>
                <w:b/>
              </w:rPr>
              <w:t>Case</w:t>
            </w:r>
          </w:p>
        </w:tc>
        <w:tc>
          <w:tcPr>
            <w:tcW w:type="dxa" w:w="3120"/>
          </w:tcPr>
          <w:p>
            <w:r>
              <w:rPr>
                <w:b/>
              </w:rPr>
            </w:r>
            <w:r>
              <w:rPr>
                <w:b/>
              </w:rPr>
              <w:t>Citation</w:t>
            </w:r>
          </w:p>
        </w:tc>
        <w:tc>
          <w:tcPr>
            <w:tcW w:type="dxa" w:w="3120"/>
          </w:tcPr>
          <w:p>
            <w:r>
              <w:rPr>
                <w:b/>
              </w:rPr>
            </w:r>
            <w:r>
              <w:rPr>
                <w:b/>
              </w:rPr>
              <w:t>Holding</w:t>
            </w:r>
          </w:p>
        </w:tc>
      </w:tr>
      <w:tr>
        <w:tc>
          <w:tcPr>
            <w:tcW w:type="dxa" w:w="3120"/>
          </w:tcPr>
          <w:p>
            <w:r/>
            <w:r>
              <w:t>*</w:t>
            </w:r>
            <w:r>
              <w:rPr>
                <w:b/>
              </w:rPr>
              <w:t>RHC Global Exports Pvt. Ltd. v. Union of India</w:t>
            </w:r>
            <w:r>
              <w:t>*</w:t>
            </w:r>
          </w:p>
        </w:tc>
        <w:tc>
          <w:tcPr>
            <w:tcW w:type="dxa" w:w="3120"/>
          </w:tcPr>
          <w:p>
            <w:r/>
            <w:r>
              <w:t xml:space="preserve">Gujarat HC, SCA No. 5978 of 2023, 06.06.2023 </w:t>
            </w:r>
            <w:r>
              <w:rPr>
                <w:b/>
              </w:rPr>
              <w:t>[Reported]</w:t>
            </w:r>
          </w:p>
        </w:tc>
        <w:tc>
          <w:tcPr>
            <w:tcW w:type="dxa" w:w="3120"/>
          </w:tcPr>
          <w:p>
            <w:r/>
            <w:r>
              <w:t xml:space="preserve">Challenge to a </w:t>
            </w:r>
            <w:r>
              <w:rPr>
                <w:b/>
              </w:rPr>
              <w:t>search and seizure inside a SEZ unit dismissed</w:t>
            </w:r>
            <w:r>
              <w:t xml:space="preserve">: s.22 read with the notification dated 05.08.2016 permits authorised officers to act in a SEZ, and the Court noted that the </w:t>
            </w:r>
            <w:r>
              <w:rPr>
                <w:b/>
              </w:rPr>
              <w:t>DC had in fact been informed</w:t>
            </w:r>
            <w:r>
              <w:t xml:space="preserve">. Consequence: s.22 is a </w:t>
            </w:r>
            <w:r>
              <w:rPr>
                <w:b/>
              </w:rPr>
              <w:t>compliance</w:t>
            </w:r>
            <w:r>
              <w:t xml:space="preserve"> provision — who was authorised, were reasons recorded, was the DC intimated/approving — not an absolute bar.</w:t>
            </w:r>
          </w:p>
        </w:tc>
      </w:tr>
    </w:tbl>
    <w:p/>
    <w:p>
      <w:pPr>
        <w:pStyle w:val="Heading3"/>
      </w:pPr>
      <w:r>
        <w:t>E. Provisional release / re-export authorities to carry to the hearing</w:t>
      </w:r>
    </w:p>
    <w:p>
      <w:pPr>
        <w:pStyle w:val="ListBullet"/>
      </w:pPr>
      <w:r>
        <w:rPr>
          <w:i/>
        </w:rPr>
        <w:t>Siemens Ltd. v. Collector of Customs</w:t>
      </w:r>
      <w:r>
        <w:t xml:space="preserve">, 1999 (113) E.L.T. 776 (SC) </w:t>
      </w:r>
      <w:r>
        <w:rPr>
          <w:b/>
        </w:rPr>
        <w:t>[Reported]</w:t>
      </w:r>
    </w:p>
    <w:p>
      <w:pPr>
        <w:pStyle w:val="ListBullet"/>
      </w:pPr>
      <w:r>
        <w:rPr>
          <w:i/>
        </w:rPr>
        <w:t>Navshakti Industries Pvt. Ltd.</w:t>
      </w:r>
      <w:r>
        <w:t xml:space="preserve">, 2011 (269) E.L.T. (A-146) (SC) </w:t>
      </w:r>
      <w:r>
        <w:rPr>
          <w:b/>
        </w:rPr>
        <w:t>[Reported]</w:t>
      </w:r>
    </w:p>
    <w:p>
      <w:pPr>
        <w:pStyle w:val="ListBullet"/>
      </w:pPr>
      <w:r>
        <w:rPr>
          <w:i/>
        </w:rPr>
        <w:t>Sankar Pandi v. Union of India</w:t>
      </w:r>
      <w:r>
        <w:t xml:space="preserve">, 2002 (141) E.L.T. 635 </w:t>
      </w:r>
      <w:r>
        <w:rPr>
          <w:b/>
        </w:rPr>
        <w:t>[Reported]</w:t>
      </w:r>
    </w:p>
    <w:p>
      <w:pPr>
        <w:pStyle w:val="ListBullet"/>
      </w:pPr>
      <w:r>
        <w:rPr>
          <w:i/>
        </w:rPr>
        <w:t>Asst. Commr. of Customs (Imports), Tuticorin v. Mahadev Enterprises</w:t>
      </w:r>
      <w:r>
        <w:t xml:space="preserve">, 2023 (3) CENTAX 8 </w:t>
      </w:r>
      <w:r>
        <w:rPr>
          <w:b/>
        </w:rPr>
        <w:t>[Reported]</w:t>
      </w:r>
    </w:p>
    <w:p>
      <w:pPr>
        <w:pStyle w:val="ListBullet"/>
      </w:pPr>
      <w:r>
        <w:rPr>
          <w:i/>
        </w:rPr>
        <w:t>Whirlpool Corporation v. Registrar of Trade Marks</w:t>
      </w:r>
      <w:r>
        <w:t xml:space="preserve">, A.I.R. 1999 SC 22 — writ maintainable despite alternative remedy where jurisdiction is in question </w:t>
      </w:r>
      <w:r>
        <w:rPr>
          <w:b/>
        </w:rPr>
        <w:t>[Reported]</w:t>
      </w:r>
    </w:p>
    <w:p>
      <w:pPr>
        <w:pStyle w:val="Heading2"/>
      </w:pPr>
      <w:r>
        <w:t>PART VI — CBIC CIRCULARS ON DETENTION, SAMPLING AND TESTING</w:t>
      </w:r>
    </w:p>
    <w:tbl>
      <w:tblPr>
        <w:tblStyle w:val="TableGrid"/>
        <w:tblW w:type="auto" w:w="0"/>
        <w:tblLook w:firstColumn="1" w:firstRow="1" w:lastColumn="0" w:lastRow="0" w:noHBand="0" w:noVBand="1" w:val="04A0"/>
      </w:tblPr>
      <w:tblGrid>
        <w:gridCol w:w="4680"/>
        <w:gridCol w:w="4680"/>
      </w:tblGrid>
      <w:tr>
        <w:tc>
          <w:tcPr>
            <w:tcW w:type="dxa" w:w="4680"/>
          </w:tcPr>
          <w:p>
            <w:r>
              <w:rPr>
                <w:b/>
              </w:rPr>
            </w:r>
            <w:r>
              <w:rPr>
                <w:b/>
              </w:rPr>
              <w:t>Circular</w:t>
            </w:r>
          </w:p>
        </w:tc>
        <w:tc>
          <w:tcPr>
            <w:tcW w:type="dxa" w:w="4680"/>
          </w:tcPr>
          <w:p>
            <w:r>
              <w:rPr>
                <w:b/>
              </w:rPr>
            </w:r>
            <w:r>
              <w:rPr>
                <w:b/>
              </w:rPr>
              <w:t>Effect</w:t>
            </w:r>
          </w:p>
        </w:tc>
      </w:tr>
      <w:tr>
        <w:tc>
          <w:tcPr>
            <w:tcW w:type="dxa" w:w="4680"/>
          </w:tcPr>
          <w:p>
            <w:r/>
            <w:r>
              <w:t>Circular No. 84/95-Cus.</w:t>
            </w:r>
          </w:p>
        </w:tc>
        <w:tc>
          <w:tcPr>
            <w:tcW w:type="dxa" w:w="4680"/>
          </w:tcPr>
          <w:p>
            <w:r/>
            <w:r>
              <w:t>Avoid prolonged detention of goods; warehouse pending clearance</w:t>
            </w:r>
          </w:p>
        </w:tc>
      </w:tr>
      <w:tr>
        <w:tc>
          <w:tcPr>
            <w:tcW w:type="dxa" w:w="4680"/>
          </w:tcPr>
          <w:p>
            <w:r/>
            <w:r>
              <w:t xml:space="preserve">Circular No. 01/2011-Cus. dated 04.01.2011, F.No.401/179/2009-Cus.III </w:t>
            </w:r>
            <w:r>
              <w:rPr>
                <w:b/>
              </w:rPr>
              <w:t>[Verified — full text read]</w:t>
            </w:r>
          </w:p>
        </w:tc>
        <w:tc>
          <w:tcPr>
            <w:tcW w:type="dxa" w:w="4680"/>
          </w:tcPr>
          <w:p>
            <w:r/>
            <w:r>
              <w:t xml:space="preserve">Subject is "Provisional release of </w:t>
            </w:r>
            <w:r>
              <w:rPr>
                <w:b/>
              </w:rPr>
              <w:t>export</w:t>
            </w:r>
            <w:r>
              <w:t xml:space="preserve"> goods detained for investigation" — note the export context before relying on it, although this Court applied it in </w:t>
            </w:r>
            <w:r>
              <w:rPr>
                <w:i/>
              </w:rPr>
              <w:t>J.K. Exim</w:t>
            </w:r>
            <w:r>
              <w:t>. Para 4: "Seizure should be resorted to only when the Customs officers have a reason to believe that the goods in question are liable to confiscation under the Customs Act, 1962 and thereafter the provisions of Section 110A ... would come into play"; where goods "are to be detained for purpose of tests etc. to confirm the declaration ... the endeavour should be to quickly undertake the necessary action (test / enquiry etc.) and take appropriate legal action thereafter so that the period of detention is kept to the minimum". Para 4(d): goods detained for tests "must be dealt with on priority" and continued detention "in excess of 3 days must be brought to the notice of the Commissioner of Customs".</w:t>
            </w:r>
          </w:p>
        </w:tc>
      </w:tr>
      <w:tr>
        <w:tc>
          <w:tcPr>
            <w:tcW w:type="dxa" w:w="4680"/>
          </w:tcPr>
          <w:p>
            <w:r/>
            <w:r>
              <w:t>Circular No. 30/2013-Cus.</w:t>
            </w:r>
          </w:p>
        </w:tc>
        <w:tc>
          <w:tcPr>
            <w:tcW w:type="dxa" w:w="4680"/>
          </w:tcPr>
          <w:p>
            <w:r/>
            <w:r>
              <w:t>Test reports to be obtained quickly; escalation where testing exceeds three days</w:t>
            </w:r>
          </w:p>
        </w:tc>
      </w:tr>
      <w:tr>
        <w:tc>
          <w:tcPr>
            <w:tcW w:type="dxa" w:w="4680"/>
          </w:tcPr>
          <w:p>
            <w:r/>
            <w:r>
              <w:t>Circular No. 30/2017-Cus.</w:t>
            </w:r>
          </w:p>
        </w:tc>
        <w:tc>
          <w:tcPr>
            <w:tcW w:type="dxa" w:w="4680"/>
          </w:tcPr>
          <w:p>
            <w:r/>
            <w:r>
              <w:t>Sampling in the presence of the importer with certification; results to be communicated immediately</w:t>
            </w:r>
          </w:p>
        </w:tc>
      </w:tr>
      <w:tr>
        <w:tc>
          <w:tcPr>
            <w:tcW w:type="dxa" w:w="4680"/>
          </w:tcPr>
          <w:p>
            <w:r/>
            <w:r>
              <w:t>Circular No. 43/2017-Cus.</w:t>
            </w:r>
          </w:p>
        </w:tc>
        <w:tc>
          <w:tcPr>
            <w:tcW w:type="dxa" w:w="4680"/>
          </w:tcPr>
          <w:p>
            <w:r/>
            <w:r>
              <w:t>Re-test procedure and sampling technique</w:t>
            </w:r>
          </w:p>
        </w:tc>
      </w:tr>
    </w:tbl>
    <w:p/>
    <w:p>
      <w:pPr>
        <w:jc w:val="both"/>
      </w:pPr>
      <w:r>
        <w:rPr>
          <w:b/>
        </w:rPr>
        <w:t>[The 01/2011 text above is verified from the Board's own copy; the remaining four are to be printed from the CBIC site and paginated as annexures, verifying current status/supersession.]</w:t>
      </w:r>
    </w:p>
    <w:p>
      <w:pPr>
        <w:pStyle w:val="Heading3"/>
      </w:pPr>
      <w:r>
        <w:t xml:space="preserve">Instruction No. 27/2024-Customs dated 01.11.2024, F. No. 394/39(14)/2018-Commr.(Inv.-Cus.) </w:t>
      </w:r>
      <w:r>
        <w:rPr>
          <w:b/>
        </w:rPr>
        <w:t>[Verified — full text read]</w:t>
      </w:r>
    </w:p>
    <w:p>
      <w:pPr>
        <w:jc w:val="both"/>
      </w:pPr>
      <w:r>
        <w:t>The Board's guidelines for investigation of "commercial intelligence/fraud (CI)" cases — i.e. exactly this category of allegation, as distinct from outright smuggling. Directly answers the point that one formation after another cannot investigate the same line of business:</w:t>
      </w:r>
    </w:p>
    <w:tbl>
      <w:tblPr>
        <w:tblStyle w:val="TableGrid"/>
        <w:tblW w:type="auto" w:w="0"/>
        <w:tblLook w:firstColumn="1" w:firstRow="1" w:lastColumn="0" w:lastRow="0" w:noHBand="0" w:noVBand="1" w:val="04A0"/>
      </w:tblPr>
      <w:tblGrid>
        <w:gridCol w:w="4680"/>
        <w:gridCol w:w="4680"/>
      </w:tblGrid>
      <w:tr>
        <w:tc>
          <w:tcPr>
            <w:tcW w:type="dxa" w:w="4680"/>
          </w:tcPr>
          <w:p>
            <w:r>
              <w:rPr>
                <w:b/>
              </w:rPr>
            </w:r>
            <w:r>
              <w:rPr>
                <w:b/>
              </w:rPr>
              <w:t>Para</w:t>
            </w:r>
          </w:p>
        </w:tc>
        <w:tc>
          <w:tcPr>
            <w:tcW w:type="dxa" w:w="4680"/>
          </w:tcPr>
          <w:p>
            <w:r>
              <w:rPr>
                <w:b/>
              </w:rPr>
            </w:r>
            <w:r>
              <w:rPr>
                <w:b/>
              </w:rPr>
              <w:t>Text</w:t>
            </w:r>
          </w:p>
        </w:tc>
      </w:tr>
      <w:tr>
        <w:tc>
          <w:tcPr>
            <w:tcW w:type="dxa" w:w="4680"/>
          </w:tcPr>
          <w:p>
            <w:r/>
            <w:r>
              <w:t>2.1</w:t>
            </w:r>
          </w:p>
        </w:tc>
        <w:tc>
          <w:tcPr>
            <w:tcW w:type="dxa" w:w="4680"/>
          </w:tcPr>
          <w:p>
            <w:r/>
            <w:r>
              <w:t xml:space="preserve">"Within the jurisdiction of the Commissionerate, the Commissioner is responsible for developing and approving any intelligence, investigation and its completion. </w:t>
            </w:r>
            <w:r>
              <w:rPr>
                <w:b/>
              </w:rPr>
              <w:t>Each investigation must be initiated only after the approval of the Commissioner.</w:t>
            </w:r>
            <w:r>
              <w:t xml:space="preserve"> A CI case investigation must reach the earliest conclusion which is normally not more than one year."</w:t>
            </w:r>
          </w:p>
        </w:tc>
      </w:tr>
      <w:tr>
        <w:tc>
          <w:tcPr>
            <w:tcW w:type="dxa" w:w="4680"/>
          </w:tcPr>
          <w:p>
            <w:r/>
            <w:r>
              <w:t>2.2</w:t>
            </w:r>
          </w:p>
        </w:tc>
        <w:tc>
          <w:tcPr>
            <w:tcW w:type="dxa" w:w="4680"/>
          </w:tcPr>
          <w:p>
            <w:r/>
            <w:r>
              <w:t>Prior analysis against "available data, technical literature, prevalent industry practice, judicial pronouncements, extant legal framework, precedence etc.", seeking information holistically at the first instance, "which is an important factor in minimizing interface with the importer/exporter".</w:t>
            </w:r>
          </w:p>
        </w:tc>
      </w:tr>
      <w:tr>
        <w:tc>
          <w:tcPr>
            <w:tcW w:type="dxa" w:w="4680"/>
          </w:tcPr>
          <w:p>
            <w:r/>
            <w:r>
              <w:t>2.3</w:t>
            </w:r>
          </w:p>
        </w:tc>
        <w:tc>
          <w:tcPr>
            <w:tcW w:type="dxa" w:w="4680"/>
          </w:tcPr>
          <w:p>
            <w:r/>
            <w:r>
              <w:t xml:space="preserve">The analysis "should extend to checking open-source information and </w:t>
            </w:r>
            <w:r>
              <w:rPr>
                <w:b/>
              </w:rPr>
              <w:t>the entries in DIGIT and DIN in terms of the existing investigations related to the same entity and also if an investigation on the same issue exists</w:t>
            </w:r>
            <w:r>
              <w:t>."</w:t>
            </w:r>
          </w:p>
        </w:tc>
      </w:tr>
      <w:tr>
        <w:tc>
          <w:tcPr>
            <w:tcW w:type="dxa" w:w="4680"/>
          </w:tcPr>
          <w:p>
            <w:r/>
            <w:r>
              <w:t>2.4</w:t>
            </w:r>
          </w:p>
        </w:tc>
        <w:tc>
          <w:tcPr>
            <w:tcW w:type="dxa" w:w="4680"/>
          </w:tcPr>
          <w:p>
            <w:r/>
            <w:r>
              <w:t>The Commissioner decides whether the intelligence is to be brought to the notice of DRI through the Chief Commissioner — i.e. coordination, not duplication.</w:t>
            </w:r>
          </w:p>
        </w:tc>
      </w:tr>
      <w:tr>
        <w:tc>
          <w:tcPr>
            <w:tcW w:type="dxa" w:w="4680"/>
          </w:tcPr>
          <w:p>
            <w:r/>
            <w:r>
              <w:t>2.5(a)–(e)</w:t>
            </w:r>
          </w:p>
        </w:tc>
        <w:tc>
          <w:tcPr>
            <w:tcW w:type="dxa" w:w="4680"/>
          </w:tcPr>
          <w:p>
            <w:r/>
            <w:r>
              <w:t xml:space="preserve">Documents "preferably by writing letter"; a "reasonable" time frame for appearance "keeping in view the mode of communication of the letter/summon"; relevancy and propriety recorded on e-file "so as not to have repeated issuance of letter/summons or seeking of piecemeal information"; </w:t>
            </w:r>
            <w:r>
              <w:rPr>
                <w:b/>
              </w:rPr>
              <w:t>prior reasoned approval of an officer not below Dy/Asst. Commissioner of each content of the summons</w:t>
            </w:r>
            <w:r>
              <w:t>.</w:t>
            </w:r>
          </w:p>
        </w:tc>
      </w:tr>
      <w:tr>
        <w:tc>
          <w:tcPr>
            <w:tcW w:type="dxa" w:w="4680"/>
          </w:tcPr>
          <w:p>
            <w:r/>
            <w:r>
              <w:t>2.5(f)</w:t>
            </w:r>
          </w:p>
        </w:tc>
        <w:tc>
          <w:tcPr>
            <w:tcW w:type="dxa" w:w="4680"/>
          </w:tcPr>
          <w:p>
            <w:r/>
            <w:r>
              <w:t>Any statement recorded under summons, and any panchnama or mahazar, to be uploaded to the same e-office file and submitted to the Addl./Jt. Commissioner "within 4 working days".</w:t>
            </w:r>
          </w:p>
        </w:tc>
      </w:tr>
      <w:tr>
        <w:tc>
          <w:tcPr>
            <w:tcW w:type="dxa" w:w="4680"/>
          </w:tcPr>
          <w:p>
            <w:r/>
            <w:r>
              <w:t>2.5(h), (j)</w:t>
            </w:r>
          </w:p>
        </w:tc>
        <w:tc>
          <w:tcPr>
            <w:tcW w:type="dxa" w:w="4680"/>
          </w:tcPr>
          <w:p>
            <w:r/>
            <w:r>
              <w:t>The summons must "disclose the specific nature of the inquiry"; "vague (or general) expressions must be avoided"; "</w:t>
            </w:r>
            <w:r>
              <w:rPr>
                <w:b/>
              </w:rPr>
              <w:t>Issuing letter/summons with context or content akin to a fishing inquiry is not acceptable</w:t>
            </w:r>
            <w:r>
              <w:t>."</w:t>
            </w:r>
          </w:p>
        </w:tc>
      </w:tr>
      <w:tr>
        <w:tc>
          <w:tcPr>
            <w:tcW w:type="dxa" w:w="4680"/>
          </w:tcPr>
          <w:p>
            <w:r/>
            <w:r>
              <w:t>2.5(l), (m)</w:t>
            </w:r>
          </w:p>
        </w:tc>
        <w:tc>
          <w:tcPr>
            <w:tcW w:type="dxa" w:w="4680"/>
          </w:tcPr>
          <w:p>
            <w:r/>
            <w:r>
              <w:t>Investigation need not be kept pending till limitation approaches; closure includes recording that nothing objectionable was found.</w:t>
            </w:r>
          </w:p>
        </w:tc>
      </w:tr>
    </w:tbl>
    <w:p/>
    <w:p>
      <w:pPr>
        <w:jc w:val="both"/>
      </w:pPr>
      <w:r>
        <w:t xml:space="preserve">Also referred to in 2.5(b): CBIC Instruction </w:t>
      </w:r>
      <w:r>
        <w:rPr>
          <w:b/>
        </w:rPr>
        <w:t>F. No. 394/05/2015-Cus (AS) dated 04.02.2015</w:t>
      </w:r>
      <w:r>
        <w:t xml:space="preserve"> on the issue of summons, particularly to senior management </w:t>
      </w:r>
      <w:r>
        <w:rPr>
          <w:b/>
        </w:rPr>
        <w:t>[To verify — obtain text]</w:t>
      </w:r>
      <w:r>
        <w:t>.</w:t>
      </w:r>
    </w:p>
    <w:p>
      <w:pPr>
        <w:pStyle w:val="Heading3"/>
      </w:pPr>
      <w:r>
        <w:t>The Department as one entity — consistency</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r>
              <w:rPr>
                <w:b/>
              </w:rPr>
              <w:t>Authority</w:t>
            </w:r>
          </w:p>
        </w:tc>
        <w:tc>
          <w:tcPr>
            <w:tcW w:type="dxa" w:w="3120"/>
          </w:tcPr>
          <w:p>
            <w:r>
              <w:rPr>
                <w:b/>
              </w:rPr>
            </w:r>
            <w:r>
              <w:rPr>
                <w:b/>
              </w:rPr>
              <w:t>Citation</w:t>
            </w:r>
          </w:p>
        </w:tc>
        <w:tc>
          <w:tcPr>
            <w:tcW w:type="dxa" w:w="3120"/>
          </w:tcPr>
          <w:p>
            <w:r>
              <w:rPr>
                <w:b/>
              </w:rPr>
            </w:r>
            <w:r>
              <w:rPr>
                <w:b/>
              </w:rPr>
              <w:t>Proposition</w:t>
            </w:r>
          </w:p>
        </w:tc>
      </w:tr>
      <w:tr>
        <w:tc>
          <w:tcPr>
            <w:tcW w:type="dxa" w:w="3120"/>
          </w:tcPr>
          <w:p>
            <w:r/>
            <w:r>
              <w:t>*</w:t>
            </w:r>
            <w:r>
              <w:rPr>
                <w:b/>
              </w:rPr>
              <w:t>Birla Corporation Ltd. v. Commissioner of Central Excise</w:t>
            </w:r>
            <w:r>
              <w:t>*</w:t>
            </w:r>
          </w:p>
        </w:tc>
        <w:tc>
          <w:tcPr>
            <w:tcW w:type="dxa" w:w="3120"/>
          </w:tcPr>
          <w:p>
            <w:r/>
            <w:r>
              <w:rPr>
                <w:b/>
              </w:rPr>
              <w:t>(2005) 6 S.C.C. 95</w:t>
            </w:r>
            <w:r>
              <w:t xml:space="preserve"> </w:t>
            </w:r>
            <w:r>
              <w:rPr>
                <w:b/>
              </w:rPr>
              <w:t>[Verified]</w:t>
            </w:r>
          </w:p>
        </w:tc>
        <w:tc>
          <w:tcPr>
            <w:tcW w:type="dxa" w:w="3120"/>
          </w:tcPr>
          <w:p>
            <w:r/>
            <w:r>
              <w:t>"We cannot permit the Revenue to take a different stand in this case"; having taken a conscious decision to accept a principle, the Revenue cannot "be permitted to take the opposite stand ... the law will be in a state of confusion and will place the authorities as well as the assessees in a quandary".</w:t>
            </w:r>
          </w:p>
        </w:tc>
      </w:tr>
      <w:tr>
        <w:tc>
          <w:tcPr>
            <w:tcW w:type="dxa" w:w="3120"/>
          </w:tcPr>
          <w:p>
            <w:r/>
            <w:r>
              <w:t>*</w:t>
            </w:r>
            <w:r>
              <w:rPr>
                <w:b/>
              </w:rPr>
              <w:t>Damodar J. Malpani v. Collector of Central Excise</w:t>
            </w:r>
            <w:r>
              <w:t>*</w:t>
            </w:r>
          </w:p>
        </w:tc>
        <w:tc>
          <w:tcPr>
            <w:tcW w:type="dxa" w:w="3120"/>
          </w:tcPr>
          <w:p>
            <w:r/>
            <w:r>
              <w:t xml:space="preserve">2002 (146) E.L.T. 483 (S.C.) </w:t>
            </w:r>
            <w:r>
              <w:rPr>
                <w:b/>
              </w:rPr>
              <w:t>[Reported]</w:t>
            </w:r>
          </w:p>
        </w:tc>
        <w:tc>
          <w:tcPr>
            <w:tcW w:type="dxa" w:w="3120"/>
          </w:tcPr>
          <w:p>
            <w:r/>
            <w:r>
              <w:t>Revenue cannot take contradictory stands on identical facts.</w:t>
            </w:r>
          </w:p>
        </w:tc>
      </w:tr>
      <w:tr>
        <w:tc>
          <w:tcPr>
            <w:tcW w:type="dxa" w:w="3120"/>
          </w:tcPr>
          <w:p>
            <w:r/>
            <w:r>
              <w:t>*</w:t>
            </w:r>
            <w:r>
              <w:rPr>
                <w:b/>
              </w:rPr>
              <w:t>ITC Ltd. v. Commissioner of Central Excise, Kolkata-IV</w:t>
            </w:r>
            <w:r>
              <w:t>*</w:t>
            </w:r>
          </w:p>
        </w:tc>
        <w:tc>
          <w:tcPr>
            <w:tcW w:type="dxa" w:w="3120"/>
          </w:tcPr>
          <w:p>
            <w:r/>
            <w:r>
              <w:t xml:space="preserve">(2019) 17 S.C.C. 46 </w:t>
            </w:r>
            <w:r>
              <w:rPr>
                <w:b/>
              </w:rPr>
              <w:t>[Reported]</w:t>
            </w:r>
          </w:p>
        </w:tc>
        <w:tc>
          <w:tcPr>
            <w:tcW w:type="dxa" w:w="3120"/>
          </w:tcPr>
          <w:p>
            <w:r/>
            <w:r>
              <w:t>A self-assessment is an assessment order; it binds until modified in appeal or review — it cannot be got round collaterally.</w:t>
            </w:r>
          </w:p>
        </w:tc>
      </w:tr>
      <w:tr>
        <w:tc>
          <w:tcPr>
            <w:tcW w:type="dxa" w:w="3120"/>
          </w:tcPr>
          <w:p>
            <w:r/>
            <w:r>
              <w:t>*</w:t>
            </w:r>
            <w:r>
              <w:rPr>
                <w:b/>
              </w:rPr>
              <w:t>Priya Blue Industries Ltd. v. Commissioner of Customs (Preventive)</w:t>
            </w:r>
            <w:r>
              <w:t>*</w:t>
            </w:r>
          </w:p>
        </w:tc>
        <w:tc>
          <w:tcPr>
            <w:tcW w:type="dxa" w:w="3120"/>
          </w:tcPr>
          <w:p>
            <w:r/>
            <w:r>
              <w:t xml:space="preserve">(2005) 10 S.C.C. 433 </w:t>
            </w:r>
            <w:r>
              <w:rPr>
                <w:b/>
              </w:rPr>
              <w:t>[Reported]</w:t>
            </w:r>
          </w:p>
        </w:tc>
        <w:tc>
          <w:tcPr>
            <w:tcW w:type="dxa" w:w="3120"/>
          </w:tcPr>
          <w:p>
            <w:r/>
            <w:r>
              <w:t>Same principle — no collateral challenge to an assessment.</w:t>
            </w:r>
          </w:p>
        </w:tc>
      </w:tr>
      <w:tr>
        <w:tc>
          <w:tcPr>
            <w:tcW w:type="dxa" w:w="3120"/>
          </w:tcPr>
          <w:p>
            <w:r/>
            <w:r>
              <w:t>*</w:t>
            </w:r>
            <w:r>
              <w:rPr>
                <w:b/>
              </w:rPr>
              <w:t>Vivek Narsaria v. State of Jharkhand</w:t>
            </w:r>
            <w:r>
              <w:t>*</w:t>
            </w:r>
          </w:p>
        </w:tc>
        <w:tc>
          <w:tcPr>
            <w:tcW w:type="dxa" w:w="3120"/>
          </w:tcPr>
          <w:p>
            <w:r/>
            <w:r>
              <w:t xml:space="preserve">Jharkhand HC, W.P.(T) No. 4491 of 2023, 15.01.2024 </w:t>
            </w:r>
            <w:r>
              <w:rPr>
                <w:b/>
              </w:rPr>
              <w:t>[Reported]</w:t>
            </w:r>
          </w:p>
        </w:tc>
        <w:tc>
          <w:tcPr>
            <w:tcW w:type="dxa" w:w="3120"/>
          </w:tcPr>
          <w:p>
            <w:r/>
            <w:r>
              <w:t>Where State GST, the CGST Preventive Wing and DGGI proceeded concurrently on inter-related transactions, the investigation was consolidated before the authority that acted first and the others were directed to forward their material. A GST case, cited for the principle against parallel investigation, and reinforced by CBIC Instruction No. 01/2023-24-GST (Inv.), which requires an existing inquiry on the same subject matter to be ascertained before a second one is approved.</w:t>
            </w:r>
          </w:p>
        </w:tc>
      </w:tr>
    </w:tbl>
    <w:p/>
    <w:p>
      <w:pPr>
        <w:pStyle w:val="Heading2"/>
      </w:pPr>
      <w:r>
        <w:t>PART VII — THE MEPZ SOP FOR BLISTER COPPER (CTH 7402)</w:t>
      </w:r>
    </w:p>
    <w:p>
      <w:pPr>
        <w:jc w:val="both"/>
      </w:pPr>
      <w:r>
        <w:t xml:space="preserve">F.No. </w:t>
      </w:r>
      <w:r>
        <w:rPr>
          <w:b/>
        </w:rPr>
        <w:t>MEPZ-MSM043(C)/226/2025-SEZ Chennai</w:t>
      </w:r>
      <w:r>
        <w:t xml:space="preserve">, e-file No. </w:t>
      </w:r>
      <w:r>
        <w:rPr>
          <w:b/>
        </w:rPr>
        <w:t>I/131691/2026</w:t>
      </w:r>
      <w:r>
        <w:t xml:space="preserve"> — "Standard Operating Procedure (SOP) — Clearance of Blister Copper under CTH 7402". Applies to all blister copper consignments under CTH 7402 warehoused on a Z-Bill and later cleared on a T-Bill. </w:t>
      </w:r>
      <w:r>
        <w:rPr>
          <w:b/>
        </w:rPr>
        <w:t>[Verified — full text read; the copy supplied bears no date, so a dated office copy must be obtained.]</w:t>
      </w:r>
    </w:p>
    <w:tbl>
      <w:tblPr>
        <w:tblStyle w:val="TableGrid"/>
        <w:tblW w:type="auto" w:w="0"/>
        <w:tblLook w:firstColumn="1" w:firstRow="1" w:lastColumn="0" w:lastRow="0" w:noHBand="0" w:noVBand="1" w:val="04A0"/>
      </w:tblPr>
      <w:tblGrid>
        <w:gridCol w:w="4680"/>
        <w:gridCol w:w="4680"/>
      </w:tblGrid>
      <w:tr>
        <w:tc>
          <w:tcPr>
            <w:tcW w:type="dxa" w:w="4680"/>
          </w:tcPr>
          <w:p>
            <w:r>
              <w:rPr>
                <w:b/>
              </w:rPr>
            </w:r>
            <w:r>
              <w:rPr>
                <w:b/>
              </w:rPr>
              <w:t>Clause</w:t>
            </w:r>
          </w:p>
        </w:tc>
        <w:tc>
          <w:tcPr>
            <w:tcW w:type="dxa" w:w="4680"/>
          </w:tcPr>
          <w:p>
            <w:r>
              <w:rPr>
                <w:b/>
              </w:rPr>
            </w:r>
            <w:r>
              <w:rPr>
                <w:b/>
              </w:rPr>
              <w:t>Requirement</w:t>
            </w:r>
          </w:p>
        </w:tc>
      </w:tr>
      <w:tr>
        <w:tc>
          <w:tcPr>
            <w:tcW w:type="dxa" w:w="4680"/>
          </w:tcPr>
          <w:p>
            <w:r/>
            <w:r>
              <w:t>3(a)</w:t>
            </w:r>
          </w:p>
        </w:tc>
        <w:tc>
          <w:tcPr>
            <w:tcW w:type="dxa" w:w="4680"/>
          </w:tcPr>
          <w:p>
            <w:r/>
            <w:r>
              <w:rPr>
                <w:b/>
              </w:rPr>
              <w:t>100% examination at the time of warehousing</w:t>
            </w:r>
          </w:p>
        </w:tc>
      </w:tr>
      <w:tr>
        <w:tc>
          <w:tcPr>
            <w:tcW w:type="dxa" w:w="4680"/>
          </w:tcPr>
          <w:p>
            <w:r/>
            <w:r>
              <w:t>3(b)</w:t>
            </w:r>
          </w:p>
        </w:tc>
        <w:tc>
          <w:tcPr>
            <w:tcW w:type="dxa" w:w="4680"/>
          </w:tcPr>
          <w:p>
            <w:r/>
            <w:r>
              <w:t xml:space="preserve">Examination </w:t>
            </w:r>
            <w:r>
              <w:rPr>
                <w:b/>
              </w:rPr>
              <w:t>by the Authorised Officer</w:t>
            </w:r>
            <w:r>
              <w:t xml:space="preserve"> — description, quantity, packing, marks and physical verification</w:t>
            </w:r>
          </w:p>
        </w:tc>
      </w:tr>
      <w:tr>
        <w:tc>
          <w:tcPr>
            <w:tcW w:type="dxa" w:w="4680"/>
          </w:tcPr>
          <w:p>
            <w:r/>
            <w:r>
              <w:t>4(a)</w:t>
            </w:r>
          </w:p>
        </w:tc>
        <w:tc>
          <w:tcPr>
            <w:tcW w:type="dxa" w:w="4680"/>
          </w:tcPr>
          <w:p>
            <w:r/>
            <w:r>
              <w:t xml:space="preserve">Sampling </w:t>
            </w:r>
            <w:r>
              <w:rPr>
                <w:b/>
              </w:rPr>
              <w:t>at the warehousing examination</w:t>
            </w:r>
          </w:p>
        </w:tc>
      </w:tr>
      <w:tr>
        <w:tc>
          <w:tcPr>
            <w:tcW w:type="dxa" w:w="4680"/>
          </w:tcPr>
          <w:p>
            <w:r/>
            <w:r>
              <w:t>4(b)</w:t>
            </w:r>
          </w:p>
        </w:tc>
        <w:tc>
          <w:tcPr>
            <w:tcW w:type="dxa" w:w="4680"/>
          </w:tcPr>
          <w:p>
            <w:r/>
            <w:r>
              <w:rPr>
                <w:b/>
              </w:rPr>
              <w:t>Three</w:t>
            </w:r>
            <w:r>
              <w:t xml:space="preserve"> representative sample sets in tamper-proof bags/containers</w:t>
            </w:r>
          </w:p>
        </w:tc>
      </w:tr>
      <w:tr>
        <w:tc>
          <w:tcPr>
            <w:tcW w:type="dxa" w:w="4680"/>
          </w:tcPr>
          <w:p>
            <w:r/>
            <w:r>
              <w:t>4(c)</w:t>
            </w:r>
          </w:p>
        </w:tc>
        <w:tc>
          <w:tcPr>
            <w:tcW w:type="dxa" w:w="4680"/>
          </w:tcPr>
          <w:p>
            <w:r/>
            <w:r>
              <w:t xml:space="preserve">Compliance with the </w:t>
            </w:r>
            <w:r>
              <w:rPr>
                <w:b/>
              </w:rPr>
              <w:t>Chennai Customs Sampling Procedure / Standing Instructions</w:t>
            </w:r>
            <w:r>
              <w:t xml:space="preserve"> (to be obtained)</w:t>
            </w:r>
          </w:p>
        </w:tc>
      </w:tr>
      <w:tr>
        <w:tc>
          <w:tcPr>
            <w:tcW w:type="dxa" w:w="4680"/>
          </w:tcPr>
          <w:p>
            <w:r/>
            <w:r>
              <w:t>4(d)</w:t>
            </w:r>
          </w:p>
        </w:tc>
        <w:tc>
          <w:tcPr>
            <w:tcW w:type="dxa" w:w="4680"/>
          </w:tcPr>
          <w:p>
            <w:r/>
            <w:r>
              <w:t xml:space="preserve">Record of sample identifiers, </w:t>
            </w:r>
            <w:r>
              <w:rPr>
                <w:b/>
              </w:rPr>
              <w:t>seal numbers</w:t>
            </w:r>
            <w:r>
              <w:t>, Bill of Entry details and package references</w:t>
            </w:r>
          </w:p>
        </w:tc>
      </w:tr>
      <w:tr>
        <w:tc>
          <w:tcPr>
            <w:tcW w:type="dxa" w:w="4680"/>
          </w:tcPr>
          <w:p>
            <w:r/>
            <w:r>
              <w:t>5(a)</w:t>
            </w:r>
          </w:p>
        </w:tc>
        <w:tc>
          <w:tcPr>
            <w:tcW w:type="dxa" w:w="4680"/>
          </w:tcPr>
          <w:p>
            <w:r/>
            <w:r>
              <w:t xml:space="preserve">First set to </w:t>
            </w:r>
            <w:r>
              <w:rPr>
                <w:b/>
              </w:rPr>
              <w:t>CRCL</w:t>
            </w:r>
            <w:r>
              <w:t xml:space="preserve"> for Fire Assay</w:t>
            </w:r>
          </w:p>
        </w:tc>
      </w:tr>
      <w:tr>
        <w:tc>
          <w:tcPr>
            <w:tcW w:type="dxa" w:w="4680"/>
          </w:tcPr>
          <w:p>
            <w:r/>
            <w:r>
              <w:t>5(b)</w:t>
            </w:r>
          </w:p>
        </w:tc>
        <w:tc>
          <w:tcPr>
            <w:tcW w:type="dxa" w:w="4680"/>
          </w:tcPr>
          <w:p>
            <w:r/>
            <w:r>
              <w:t xml:space="preserve">Second set </w:t>
            </w:r>
            <w:r>
              <w:rPr>
                <w:b/>
              </w:rPr>
              <w:t>simultaneously</w:t>
            </w:r>
            <w:r>
              <w:t xml:space="preserve"> to a </w:t>
            </w:r>
            <w:r>
              <w:rPr>
                <w:b/>
              </w:rPr>
              <w:t>NABL-accredited</w:t>
            </w:r>
            <w:r>
              <w:t xml:space="preserve"> metallurgical laboratory</w:t>
            </w:r>
          </w:p>
        </w:tc>
      </w:tr>
      <w:tr>
        <w:tc>
          <w:tcPr>
            <w:tcW w:type="dxa" w:w="4680"/>
          </w:tcPr>
          <w:p>
            <w:r/>
            <w:r>
              <w:t>5(c)</w:t>
            </w:r>
          </w:p>
        </w:tc>
        <w:tc>
          <w:tcPr>
            <w:tcW w:type="dxa" w:w="4680"/>
          </w:tcPr>
          <w:p>
            <w:r/>
            <w:r>
              <w:t xml:space="preserve">Third set </w:t>
            </w:r>
            <w:r>
              <w:rPr>
                <w:b/>
              </w:rPr>
              <w:t>retained by the Authorised Officer</w:t>
            </w:r>
          </w:p>
        </w:tc>
      </w:tr>
      <w:tr>
        <w:tc>
          <w:tcPr>
            <w:tcW w:type="dxa" w:w="4680"/>
          </w:tcPr>
          <w:p>
            <w:r/>
            <w:r>
              <w:t>6 / 6(c)</w:t>
            </w:r>
          </w:p>
        </w:tc>
        <w:tc>
          <w:tcPr>
            <w:tcW w:type="dxa" w:w="4680"/>
          </w:tcPr>
          <w:p>
            <w:r/>
            <w:r>
              <w:t xml:space="preserve">Verification of reports; </w:t>
            </w:r>
            <w:r>
              <w:rPr>
                <w:b/>
              </w:rPr>
              <w:t>Z-Bill OOC on receipt and verification of one report, whichever is earlier</w:t>
            </w:r>
          </w:p>
        </w:tc>
      </w:tr>
      <w:tr>
        <w:tc>
          <w:tcPr>
            <w:tcW w:type="dxa" w:w="4680"/>
          </w:tcPr>
          <w:p>
            <w:r/>
            <w:r>
              <w:t>7</w:t>
            </w:r>
          </w:p>
        </w:tc>
        <w:tc>
          <w:tcPr>
            <w:tcW w:type="dxa" w:w="4680"/>
          </w:tcPr>
          <w:p>
            <w:r/>
            <w:r>
              <w:t>Referral laboratory where reports materially conflict</w:t>
            </w:r>
          </w:p>
        </w:tc>
      </w:tr>
      <w:tr>
        <w:tc>
          <w:tcPr>
            <w:tcW w:type="dxa" w:w="4680"/>
          </w:tcPr>
          <w:p>
            <w:r/>
            <w:r>
              <w:t>8</w:t>
            </w:r>
          </w:p>
        </w:tc>
        <w:tc>
          <w:tcPr>
            <w:tcW w:type="dxa" w:w="4680"/>
          </w:tcPr>
          <w:p>
            <w:r/>
            <w:r>
              <w:t xml:space="preserve">Retained sample kept at least </w:t>
            </w:r>
            <w:r>
              <w:rPr>
                <w:b/>
              </w:rPr>
              <w:t>one year</w:t>
            </w:r>
            <w:r>
              <w:t xml:space="preserve"> from OOC or until proceedings conclude, whichever is later</w:t>
            </w:r>
          </w:p>
        </w:tc>
      </w:tr>
      <w:tr>
        <w:tc>
          <w:tcPr>
            <w:tcW w:type="dxa" w:w="4680"/>
          </w:tcPr>
          <w:p>
            <w:r/>
            <w:r>
              <w:t>9</w:t>
            </w:r>
          </w:p>
        </w:tc>
        <w:tc>
          <w:tcPr>
            <w:tcW w:type="dxa" w:w="4680"/>
          </w:tcPr>
          <w:p>
            <w:r/>
            <w:r>
              <w:t xml:space="preserve">Maintenance of examination, sampling, forwarding, seal, laboratory and </w:t>
            </w:r>
            <w:r>
              <w:rPr>
                <w:b/>
              </w:rPr>
              <w:t>chain-of-custody</w:t>
            </w:r>
            <w:r>
              <w:t xml:space="preserve"> records</w:t>
            </w:r>
          </w:p>
        </w:tc>
      </w:tr>
      <w:tr>
        <w:tc>
          <w:tcPr>
            <w:tcW w:type="dxa" w:w="4680"/>
          </w:tcPr>
          <w:p>
            <w:r/>
            <w:r>
              <w:t>10</w:t>
            </w:r>
          </w:p>
        </w:tc>
        <w:tc>
          <w:tcPr>
            <w:tcW w:type="dxa" w:w="4680"/>
          </w:tcPr>
          <w:p>
            <w:r/>
            <w:r>
              <w:rPr>
                <w:b/>
              </w:rPr>
              <w:t>Any deviation requires written reasons and the approval of the competent authority</w:t>
            </w:r>
          </w:p>
        </w:tc>
      </w:tr>
      <w:tr>
        <w:tc>
          <w:tcPr>
            <w:tcW w:type="dxa" w:w="4680"/>
          </w:tcPr>
          <w:p>
            <w:r/>
            <w:r>
              <w:t>11</w:t>
            </w:r>
          </w:p>
        </w:tc>
        <w:tc>
          <w:tcPr>
            <w:tcW w:type="dxa" w:w="4680"/>
          </w:tcPr>
          <w:p>
            <w:r/>
            <w:r>
              <w:t>Procedure may be incorporated into IRMS instructions (obtain the IRMS instruction if issued)</w:t>
            </w:r>
          </w:p>
        </w:tc>
      </w:tr>
    </w:tbl>
    <w:p/>
    <w:p>
      <w:pPr>
        <w:jc w:val="both"/>
      </w:pPr>
      <w:r>
        <w:t>Deviations to be pleaded: wrong occasion (samples drawn otherwise than at the warehousing examination), wrong officer (an investigation wing instead of the Authorised Officer), no examination report or seal record, inverted sequence (goods held pending testing instead of warehoused first and tested after), and no written reasons approved by the competent authority under clause 10.</w:t>
      </w:r>
    </w:p>
    <w:p>
      <w:pPr>
        <w:pStyle w:val="Heading2"/>
      </w:pPr>
      <w:r>
        <w:t>PART VIII — THE SUMMONS AND THE DIN</w:t>
      </w:r>
    </w:p>
    <w:p>
      <w:pPr>
        <w:jc w:val="both"/>
      </w:pPr>
      <w:r>
        <w:t xml:space="preserve">Summons dated </w:t>
      </w:r>
      <w:r>
        <w:rPr>
          <w:b/>
        </w:rPr>
        <w:t>10.08.2026</w:t>
      </w:r>
      <w:r>
        <w:t xml:space="preserve">, F.No. </w:t>
      </w:r>
      <w:r>
        <w:rPr>
          <w:b/>
        </w:rPr>
        <w:t>GEN/INV/DR/170//2026-SIIB</w:t>
      </w:r>
      <w:r>
        <w:t xml:space="preserve">, </w:t>
      </w:r>
      <w:r>
        <w:rPr>
          <w:b/>
        </w:rPr>
        <w:t>DIN 20260873MY0000276822</w:t>
      </w:r>
      <w:r>
        <w:t xml:space="preserve">, issued by Shri Rajeev Kumar, SIO/Superintendent, SIIB, </w:t>
      </w:r>
      <w:r>
        <w:rPr>
          <w:b/>
        </w:rPr>
        <w:t>Chennai-III (Preventive) Commissionerate</w:t>
      </w:r>
      <w:r>
        <w:t xml:space="preserve">, requiring attendance of Shri A. Krishnesh Raja in person </w:t>
      </w:r>
      <w:r>
        <w:rPr>
          <w:b/>
        </w:rPr>
        <w:t>on 10.08.2026 at 05:00 p.m.</w:t>
      </w:r>
      <w:r>
        <w:t xml:space="preserve"> at the O/o Customs Authorised Officer, FTWZ Unit at NDR Infrastructure Pvt. Ltd. FTWZ — that is, on the day of issue and at the Petitioner's own premises.</w:t>
      </w:r>
    </w:p>
    <w:p>
      <w:pPr>
        <w:jc w:val="both"/>
      </w:pPr>
      <w:r>
        <w:t xml:space="preserve">CBIC DIN verification (esanchar.cbic.gov.in) </w:t>
      </w:r>
      <w:r>
        <w:rPr>
          <w:b/>
        </w:rPr>
        <w:t>[Verified — portal response and the client's PDF agree]</w:t>
      </w:r>
      <w:r>
        <w:t>:</w:t>
      </w:r>
    </w:p>
    <w:tbl>
      <w:tblPr>
        <w:tblStyle w:val="TableGrid"/>
        <w:tblW w:type="auto" w:w="0"/>
        <w:tblLook w:firstColumn="1" w:firstRow="1" w:lastColumn="0" w:lastRow="0" w:noHBand="0" w:noVBand="1" w:val="04A0"/>
      </w:tblPr>
      <w:tblGrid>
        <w:gridCol w:w="4680"/>
        <w:gridCol w:w="4680"/>
      </w:tblGrid>
      <w:tr>
        <w:tc>
          <w:tcPr>
            <w:tcW w:type="dxa" w:w="4680"/>
          </w:tcPr>
          <w:p>
            <w:r>
              <w:rPr>
                <w:b/>
              </w:rPr>
            </w:r>
            <w:r>
              <w:rPr>
                <w:b/>
              </w:rPr>
              <w:t>Field</w:t>
            </w:r>
          </w:p>
        </w:tc>
        <w:tc>
          <w:tcPr>
            <w:tcW w:type="dxa" w:w="4680"/>
          </w:tcPr>
          <w:p>
            <w:r>
              <w:rPr>
                <w:b/>
              </w:rPr>
            </w:r>
            <w:r>
              <w:rPr>
                <w:b/>
              </w:rPr>
              <w:t>Value</w:t>
            </w:r>
          </w:p>
        </w:tc>
      </w:tr>
      <w:tr>
        <w:tc>
          <w:tcPr>
            <w:tcW w:type="dxa" w:w="4680"/>
          </w:tcPr>
          <w:p>
            <w:r/>
            <w:r>
              <w:t>Result</w:t>
            </w:r>
          </w:p>
        </w:tc>
        <w:tc>
          <w:tcPr>
            <w:tcW w:type="dxa" w:w="4680"/>
          </w:tcPr>
          <w:p>
            <w:r/>
            <w:r>
              <w:t>"This is a valid DIN"</w:t>
            </w:r>
          </w:p>
        </w:tc>
      </w:tr>
      <w:tr>
        <w:tc>
          <w:tcPr>
            <w:tcW w:type="dxa" w:w="4680"/>
          </w:tcPr>
          <w:p>
            <w:r/>
            <w:r>
              <w:t>Issuing office</w:t>
            </w:r>
          </w:p>
        </w:tc>
        <w:tc>
          <w:tcPr>
            <w:tcW w:type="dxa" w:w="4680"/>
          </w:tcPr>
          <w:p>
            <w:r/>
            <w:r>
              <w:t>Chennai-III (Preventive) Customs Commissionerate</w:t>
            </w:r>
          </w:p>
        </w:tc>
      </w:tr>
      <w:tr>
        <w:tc>
          <w:tcPr>
            <w:tcW w:type="dxa" w:w="4680"/>
          </w:tcPr>
          <w:p>
            <w:r/>
            <w:r>
              <w:t>Date of generation</w:t>
            </w:r>
          </w:p>
        </w:tc>
        <w:tc>
          <w:tcPr>
            <w:tcW w:type="dxa" w:w="4680"/>
          </w:tcPr>
          <w:p>
            <w:r/>
            <w:r>
              <w:rPr>
                <w:b/>
              </w:rPr>
              <w:t>2026-08-10 21:05:58</w:t>
            </w:r>
          </w:p>
        </w:tc>
      </w:tr>
      <w:tr>
        <w:tc>
          <w:tcPr>
            <w:tcW w:type="dxa" w:w="4680"/>
          </w:tcPr>
          <w:p>
            <w:r/>
            <w:r>
              <w:t>Communication category</w:t>
            </w:r>
          </w:p>
        </w:tc>
        <w:tc>
          <w:tcPr>
            <w:tcW w:type="dxa" w:w="4680"/>
          </w:tcPr>
          <w:p>
            <w:r/>
            <w:r>
              <w:t>Other Communication</w:t>
            </w:r>
          </w:p>
        </w:tc>
      </w:tr>
      <w:tr>
        <w:tc>
          <w:tcPr>
            <w:tcW w:type="dxa" w:w="4680"/>
          </w:tcPr>
          <w:p>
            <w:r/>
            <w:r>
              <w:t>Sub-category</w:t>
            </w:r>
          </w:p>
        </w:tc>
        <w:tc>
          <w:tcPr>
            <w:tcW w:type="dxa" w:w="4680"/>
          </w:tcPr>
          <w:p>
            <w:r/>
            <w:r>
              <w:t>letters</w:t>
            </w:r>
          </w:p>
        </w:tc>
      </w:tr>
      <w:tr>
        <w:tc>
          <w:tcPr>
            <w:tcW w:type="dxa" w:w="4680"/>
          </w:tcPr>
          <w:p>
            <w:r/>
            <w:r>
              <w:t>Stream</w:t>
            </w:r>
          </w:p>
        </w:tc>
        <w:tc>
          <w:tcPr>
            <w:tcW w:type="dxa" w:w="4680"/>
          </w:tcPr>
          <w:p>
            <w:r/>
            <w:r>
              <w:t>CGST</w:t>
            </w:r>
          </w:p>
        </w:tc>
      </w:tr>
    </w:tbl>
    <w:p/>
    <w:p>
      <w:pPr>
        <w:jc w:val="both"/>
      </w:pPr>
      <w:r>
        <w:t xml:space="preserve">How to plead it: as </w:t>
      </w:r>
      <w:r>
        <w:rPr>
          <w:b/>
        </w:rPr>
        <w:t>facts from the Department's own record</w:t>
      </w:r>
      <w:r>
        <w:t xml:space="preserve">, coupled with a call for the issuance and service record — attendance was required at 5.00 p.m. while the DIN was generated at about 9.06 p.m. the same day. Do </w:t>
      </w:r>
      <w:r>
        <w:rPr>
          <w:b/>
        </w:rPr>
        <w:t>not</w:t>
      </w:r>
      <w:r>
        <w:t xml:space="preserve"> plead that the summons is void merely because of the timestamp, the "letters" sub-category or the "CGST" stream. Establish the </w:t>
      </w:r>
      <w:r>
        <w:rPr>
          <w:b/>
        </w:rPr>
        <w:t>actual time of service</w:t>
      </w:r>
      <w:r>
        <w:t xml:space="preserve"> on Shri Krishnesh Raja first; the Department will say the paper was served earlier and only the DIN record was generated later.</w:t>
      </w:r>
    </w:p>
    <w:p>
      <w:pPr>
        <w:pStyle w:val="Heading2"/>
      </w:pPr>
      <w:r>
        <w:t>PART IX — DOCUMENTS AND RECORDS TO BE CALLED FOR OR OBTAINED</w:t>
      </w:r>
    </w:p>
    <w:p>
      <w:pPr>
        <w:pStyle w:val="ListNumber"/>
      </w:pPr>
      <w:r>
        <w:t xml:space="preserve">Detention order / seizure memo, and the </w:t>
      </w:r>
      <w:r>
        <w:rPr>
          <w:b/>
        </w:rPr>
        <w:t>grounds of belief recorded in writing</w:t>
      </w:r>
      <w:r>
        <w:t xml:space="preserve"> (s.110) for both consignments.</w:t>
      </w:r>
    </w:p>
    <w:p>
      <w:pPr>
        <w:pStyle w:val="ListNumber"/>
      </w:pPr>
      <w:r>
        <w:t xml:space="preserve">Mahazar / panchanama, inventory, and the </w:t>
      </w:r>
      <w:r>
        <w:rPr>
          <w:b/>
        </w:rPr>
        <w:t>sample receipt under s.144</w:t>
      </w:r>
      <w:r>
        <w:t>; sampling memo and test memo; package, seal and laboratory forwarding details.</w:t>
      </w:r>
    </w:p>
    <w:p>
      <w:pPr>
        <w:pStyle w:val="ListNumber"/>
      </w:pPr>
      <w:r>
        <w:t xml:space="preserve">The </w:t>
      </w:r>
      <w:r>
        <w:rPr>
          <w:b/>
        </w:rPr>
        <w:t>authorisation</w:t>
      </w:r>
      <w:r>
        <w:t xml:space="preserve"> for the drawal of samples on 07.08.2026 and 10.08.2026.</w:t>
      </w:r>
    </w:p>
    <w:p>
      <w:pPr>
        <w:pStyle w:val="ListNumber"/>
      </w:pPr>
      <w:r>
        <w:t xml:space="preserve">Authorisation/delegation in favour of the acting SIIB officers; the </w:t>
      </w:r>
      <w:r>
        <w:rPr>
          <w:b/>
        </w:rPr>
        <w:t>reasons recorded in writing</w:t>
      </w:r>
      <w:r>
        <w:t xml:space="preserve"> and the </w:t>
      </w:r>
      <w:r>
        <w:rPr>
          <w:b/>
        </w:rPr>
        <w:t>intimation to / approval of the Development Commissioner</w:t>
      </w:r>
      <w:r>
        <w:t xml:space="preserve"> under s.22 SEZ Act.</w:t>
      </w:r>
    </w:p>
    <w:p>
      <w:pPr>
        <w:pStyle w:val="ListNumber"/>
      </w:pPr>
      <w:r>
        <w:t>Copy of the statement of Shri A. Krishnesh Raja under s.108, and the record of issue and service of the summons and of DIN generation.</w:t>
      </w:r>
    </w:p>
    <w:p>
      <w:pPr>
        <w:pStyle w:val="ListNumber"/>
      </w:pPr>
      <w:r>
        <w:rPr>
          <w:b/>
        </w:rPr>
        <w:t>FTWZ CCTV footage of 10.08.2026</w:t>
      </w:r>
      <w:r>
        <w:t xml:space="preserve"> — retained for one year under DoC Instruction No. 117(iii); preserve and call for it.</w:t>
      </w:r>
    </w:p>
    <w:p>
      <w:pPr>
        <w:pStyle w:val="ListNumber"/>
      </w:pPr>
      <w:r>
        <w:t>Custodian/warehouse records: s.45 custody, tally, stock and warehousing records; NDR FTWZ gate and ERP/SAP records (Instruction No. 117(iv)).</w:t>
      </w:r>
    </w:p>
    <w:p>
      <w:pPr>
        <w:pStyle w:val="ListNumber"/>
      </w:pPr>
      <w:r>
        <w:t xml:space="preserve">Chennai Air Cargo Complex </w:t>
      </w:r>
      <w:r>
        <w:rPr>
          <w:b/>
        </w:rPr>
        <w:t>Public Notice on movement of SEZ/FTWZ cargo</w:t>
      </w:r>
      <w:r>
        <w:t xml:space="preserve">, and the Chennai Customs </w:t>
      </w:r>
      <w:r>
        <w:rPr>
          <w:b/>
        </w:rPr>
        <w:t>Sampling Procedure/Standing Instructions</w:t>
      </w:r>
      <w:r>
        <w:t xml:space="preserve"> referred to in SOP clause 4(c); the IRMS instruction under clause 11.</w:t>
      </w:r>
    </w:p>
    <w:p>
      <w:pPr>
        <w:pStyle w:val="ListNumber"/>
      </w:pPr>
      <w:r>
        <w:t xml:space="preserve">Dated office copy of the MEPZ SOP; prior CHL/CRCL reports (Lab Nos. 9319–9324-MEPZ) and the </w:t>
      </w:r>
      <w:r>
        <w:rPr>
          <w:b/>
        </w:rPr>
        <w:t>18 prior clearances between 25.11.2025 and 01.08.2026</w:t>
      </w:r>
      <w:r>
        <w:t>.</w:t>
      </w:r>
    </w:p>
    <w:p>
      <w:pPr>
        <w:pStyle w:val="ListNumber"/>
      </w:pPr>
      <w:r>
        <w:t>Dated printout of the ICEGATE "FAQs on SEZ filing (Part-I)" (Query 9) and the DG Systems SEZ advisories.</w:t>
      </w:r>
    </w:p>
    <w:p>
      <w:pPr>
        <w:pStyle w:val="ListNumber"/>
      </w:pPr>
      <w:r>
        <w:t xml:space="preserve">Certified/reported copies of </w:t>
      </w:r>
      <w:r>
        <w:rPr>
          <w:i/>
        </w:rPr>
        <w:t>J.K. Exim</w:t>
      </w:r>
      <w:r>
        <w:t xml:space="preserve">, </w:t>
      </w:r>
      <w:r>
        <w:rPr>
          <w:i/>
        </w:rPr>
        <w:t>Shaurya International</w:t>
      </w:r>
      <w:r>
        <w:t xml:space="preserve">, </w:t>
      </w:r>
      <w:r>
        <w:rPr>
          <w:i/>
        </w:rPr>
        <w:t>Morgan Tectronics</w:t>
      </w:r>
      <w:r>
        <w:t xml:space="preserve">, </w:t>
      </w:r>
      <w:r>
        <w:rPr>
          <w:i/>
        </w:rPr>
        <w:t>Bharat J. Gandhi</w:t>
      </w:r>
      <w:r>
        <w:t xml:space="preserve"> and </w:t>
      </w:r>
      <w:r>
        <w:rPr>
          <w:i/>
        </w:rPr>
        <w:t>Meenakshi International</w:t>
      </w:r>
      <w:r>
        <w:t>.</w:t>
      </w:r>
    </w:p>
    <w:p>
      <w:pPr>
        <w:pStyle w:val="Heading2"/>
      </w:pPr>
      <w:r>
        <w:t>PART X — OPEN FACTS THAT MUST BE SETTLED BEFORE FILING</w:t>
      </w:r>
    </w:p>
    <w:p>
      <w:pPr>
        <w:pStyle w:val="ListNumber"/>
      </w:pPr>
      <w:r>
        <w:t xml:space="preserve">Bill of Entry number and date of the </w:t>
      </w:r>
      <w:r>
        <w:rPr>
          <w:b/>
        </w:rPr>
        <w:t>second</w:t>
      </w:r>
      <w:r>
        <w:t xml:space="preserve"> consignment (the one warehoused in the FTWZ).</w:t>
      </w:r>
    </w:p>
    <w:p>
      <w:pPr>
        <w:pStyle w:val="ListNumber"/>
      </w:pPr>
      <w:r>
        <w:t>Date of the written demand to SIIB (and proof of despatch).</w:t>
      </w:r>
    </w:p>
    <w:p>
      <w:pPr>
        <w:pStyle w:val="ListNumber"/>
      </w:pPr>
      <w:r>
        <w:t xml:space="preserve">Whether a </w:t>
      </w:r>
      <w:r>
        <w:rPr>
          <w:b/>
        </w:rPr>
        <w:t>s.110A application</w:t>
      </w:r>
      <w:r>
        <w:t xml:space="preserve"> has in fact been filed.</w:t>
      </w:r>
    </w:p>
    <w:p>
      <w:pPr>
        <w:pStyle w:val="ListNumber"/>
      </w:pPr>
      <w:r>
        <w:t xml:space="preserve">The </w:t>
      </w:r>
      <w:r>
        <w:rPr>
          <w:b/>
        </w:rPr>
        <w:t>actual time of service</w:t>
      </w:r>
      <w:r>
        <w:t xml:space="preserve"> of the summons on Shri A. Krishnesh Raja.</w:t>
      </w:r>
    </w:p>
    <w:p>
      <w:pPr>
        <w:pStyle w:val="ListNumber"/>
      </w:pPr>
      <w:r>
        <w:t xml:space="preserve">Whether he </w:t>
      </w:r>
      <w:r>
        <w:rPr>
          <w:b/>
        </w:rPr>
        <w:t>signed</w:t>
      </w:r>
      <w:r>
        <w:t xml:space="preserve"> the statement and whether a copy was given to him.</w:t>
      </w:r>
    </w:p>
    <w:p>
      <w:pPr>
        <w:pStyle w:val="ListNumber"/>
      </w:pPr>
      <w:r>
        <w:t>Whether any acknowledgement, mahazar or sample receipt was signed at the FTWZ.</w:t>
      </w:r>
    </w:p>
    <w:p>
      <w:pPr>
        <w:pStyle w:val="ListNumber"/>
      </w:pPr>
      <w:r>
        <w:t xml:space="preserve">Whether the FTWZ goods remain in the Unit </w:t>
      </w:r>
      <w:r>
        <w:rPr>
          <w:b/>
        </w:rPr>
        <w:t>under seal</w:t>
      </w:r>
      <w:r>
        <w:t xml:space="preserve"> or have been removed.</w:t>
      </w:r>
    </w:p>
    <w:p>
      <w:pPr>
        <w:pStyle w:val="ListNumber"/>
      </w:pPr>
      <w:r>
        <w:t xml:space="preserve">Whether a formal </w:t>
      </w:r>
      <w:r>
        <w:rPr>
          <w:b/>
        </w:rPr>
        <w:t>seizure memo</w:t>
      </w:r>
      <w:r>
        <w:t xml:space="preserve"> is served after filing (the petitions would then be amended to press s.110A).</w:t>
      </w:r>
    </w:p>
    <w:p>
      <w:pPr>
        <w:pStyle w:val="ListNumber"/>
      </w:pPr>
      <w:r>
        <w:t>Status of Gemtec Jewellery FZE (client authorisation/NOC) and the FTWZ agreement/allotment papers.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