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CWLmUwGjsKmqdrcm5004 Details</w:t>
      </w:r>
    </w:p>
    <w:p>
      <w:r>
        <w:rPr>
          <w:b/>
        </w:rPr>
        <w:t>Demographics</w:t>
      </w:r>
    </w:p>
    <w:p>
      <w:pPr>
        <w:pStyle w:val="ListBullet"/>
      </w:pPr>
      <w:r>
        <w:t>18-year-old white female; student</w:t>
      </w:r>
    </w:p>
    <w:p>
      <w:r>
        <w:rPr>
          <w:b/>
        </w:rPr>
        <w:t>Chief complaint</w:t>
      </w:r>
    </w:p>
    <w:p>
      <w:pPr>
        <w:pStyle w:val="ListBullet"/>
      </w:pPr>
      <w:r>
        <w:t>red eyes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Character/signs/symptoms:eyes are red and irritated; discharge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onset:acute; started in right eye first, then moved to left eye yesterday</w:t>
      </w:r>
    </w:p>
    <w:p>
      <w:pPr>
        <w:pStyle w:val="ListBullet"/>
      </w:pPr>
      <w:r>
        <w:t>Duration:3 days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in the morning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signs/symptoms:wakes up with eyelids stuck shut in the morning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ago; wears glasses for reading</w:t>
      </w:r>
    </w:p>
    <w:p>
      <w:r>
        <w:rPr>
          <w:b/>
        </w:rPr>
        <w:t>Family ocular history</w:t>
      </w:r>
    </w:p>
    <w:p>
      <w:pPr>
        <w:pStyle w:val="ListBullet"/>
      </w:pPr>
      <w:r>
        <w:t>mother: strabismus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oral contraceptives</w:t>
      </w:r>
    </w:p>
    <w:p>
      <w:r>
        <w:rPr>
          <w:b/>
        </w:rPr>
        <w:t>Patient allergy history</w:t>
      </w:r>
    </w:p>
    <w:p>
      <w:pPr>
        <w:pStyle w:val="ListBullet"/>
      </w:pPr>
      <w:r>
        <w:t>fluoroquinolones, macrolides, penicillin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pituitary adenoma, father: gout, hyperlipidemia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20/20</w:t>
      </w:r>
    </w:p>
    <w:p>
      <w:pPr>
        <w:pStyle w:val="ListBullet"/>
      </w:pPr>
      <w:r>
        <w:t>OS:distance: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lids/lashes/adnexa:see image 1 OD, OS similar to OD</w:t>
      </w:r>
    </w:p>
    <w:p>
      <w:pPr>
        <w:pStyle w:val="ListBullet"/>
      </w:pPr>
      <w:r>
        <w:t>conjunctiva:see image 1 OD, OS similar to OD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Preauricular nodes:</w:t>
      </w:r>
    </w:p>
    <w:p>
      <w:pPr>
        <w:pStyle w:val="ListBullet"/>
      </w:pPr>
      <w:r>
        <w:t>negative lymphadenopathy (bilaterally)</w:t>
      </w:r>
    </w:p>
    <w:p>
      <w:r>
        <w:rPr>
          <w:b/>
        </w:rPr>
        <w:t>IOPs:</w:t>
      </w:r>
    </w:p>
    <w:p>
      <w:pPr>
        <w:pStyle w:val="ListBullet"/>
      </w:pPr>
      <w:r>
        <w:t>OD: 17 mmHg, OS: 17 mmHg @ 12:00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C/D:0.25 H/0.25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C/D:0.25 H/0.25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113/74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68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9869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LSJWWLWZFDQBPYQB50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86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What is the MOST likely diagnosis of the patient's anterior segment condition?</w:t>
      </w:r>
    </w:p>
    <w:p>
      <w:r>
        <w:t>a) Allergic conjunctivitis</w:t>
      </w:r>
    </w:p>
    <w:p>
      <w:r>
        <w:t>b) Gonococcal conjunctivitis</w:t>
      </w:r>
    </w:p>
    <w:p>
      <w:r>
        <w:t>c) Bacterial conjunctivitis</w:t>
      </w:r>
    </w:p>
    <w:p>
      <w:r>
        <w:t>d) Epidemic keratoconjunctivitis (EKC)</w:t>
      </w:r>
    </w:p>
    <w:p>
      <w:r>
        <w:t>e) Superficial punctate keratitis</w:t>
      </w:r>
    </w:p>
    <w:p>
      <w:pPr>
        <w:pStyle w:val="Heading2"/>
      </w:pPr>
      <w:r>
        <w:t>Question 2 / 6</w:t>
      </w:r>
    </w:p>
    <w:p>
      <w:r>
        <w:t>What is the MOST appropriate treatment for this patient's anterior segment condition?</w:t>
      </w:r>
    </w:p>
    <w:p>
      <w:r>
        <w:t>a) Polytrim® q.i.d. OU for 7 days</w:t>
      </w:r>
    </w:p>
    <w:p>
      <w:r>
        <w:t>b) AzaSite® b.i.d. for 2 days then q.h.s. for 5 days</w:t>
      </w:r>
    </w:p>
    <w:p>
      <w:r>
        <w:t>c) Erythromycin ung b.i.d. OU for 7 days</w:t>
      </w:r>
    </w:p>
    <w:p>
      <w:r>
        <w:t>d) Preservative-free artificial tears q.i.d. OU for 7 days</w:t>
      </w:r>
    </w:p>
    <w:p>
      <w:r>
        <w:t>e) Moxeza® q.i.d. OU for 7 days</w:t>
      </w:r>
    </w:p>
    <w:p>
      <w:r>
        <w:t>f) Pataday® q.d. for 2 weeks</w:t>
      </w:r>
    </w:p>
    <w:p>
      <w:pPr>
        <w:pStyle w:val="Heading2"/>
      </w:pPr>
      <w:r>
        <w:t>Question 3 / 6</w:t>
      </w:r>
    </w:p>
    <w:p>
      <w:r>
        <w:t>After the initiation of treatment, when is an appropriate time to follow up with the patient?</w:t>
      </w:r>
    </w:p>
    <w:p>
      <w:r>
        <w:t>a) 3 days</w:t>
      </w:r>
    </w:p>
    <w:p>
      <w:r>
        <w:t>b) Annually</w:t>
      </w:r>
    </w:p>
    <w:p>
      <w:r>
        <w:t>c) 2 weeks</w:t>
      </w:r>
    </w:p>
    <w:p>
      <w:r>
        <w:t>d) 1 day</w:t>
      </w:r>
    </w:p>
    <w:p>
      <w:r>
        <w:t>e) 6 weeks</w:t>
      </w:r>
    </w:p>
    <w:p>
      <w:r>
        <w:t>f) 1 month</w:t>
      </w:r>
    </w:p>
    <w:p>
      <w:pPr>
        <w:pStyle w:val="Heading2"/>
      </w:pPr>
      <w:r>
        <w:t>Question 4 / 6</w:t>
      </w:r>
    </w:p>
    <w:p>
      <w:r>
        <w:t>What patient education should be included during the initial visit with the patient?</w:t>
      </w:r>
    </w:p>
    <w:p>
      <w:r>
        <w:t>a) The patient needs to avoid dairy products while using the prescribed medication as calcium will interfere with its effectiveness</w:t>
      </w:r>
    </w:p>
    <w:p>
      <w:r>
        <w:t>b) The condition is contagious and precautions (i.e. frequent hand washing) must be taken to ensure that it is not spread to others</w:t>
      </w:r>
    </w:p>
    <w:p>
      <w:r>
        <w:t>c) The patient cannot eat iron-rich foods while taking the prescribed medication</w:t>
      </w:r>
    </w:p>
    <w:p>
      <w:r>
        <w:t>d) The patient should not wear glasses as the lenses can serve as reservoirs for the pathogens</w:t>
      </w:r>
    </w:p>
    <w:p>
      <w:r>
        <w:t>e) The patient should be evaluated by her primary care physician for associated systemic disease</w:t>
      </w:r>
    </w:p>
    <w:p>
      <w:pPr>
        <w:pStyle w:val="Heading2"/>
      </w:pPr>
      <w:r>
        <w:t>Question 5 / 6</w:t>
      </w:r>
    </w:p>
    <w:p>
      <w:r>
        <w:t>This patient’s diagnosis is frequently observed in children in conjunction with which of the following conditions?</w:t>
      </w:r>
    </w:p>
    <w:p>
      <w:r>
        <w:t>a) Pharyngitis</w:t>
      </w:r>
    </w:p>
    <w:p>
      <w:r>
        <w:t>b) Frequent nose bleeds</w:t>
      </w:r>
    </w:p>
    <w:p>
      <w:r>
        <w:t>c) Otitis media</w:t>
      </w:r>
    </w:p>
    <w:p>
      <w:r>
        <w:t>d) Atopy</w:t>
      </w:r>
    </w:p>
    <w:p>
      <w:r>
        <w:t>e) Onycholysis</w:t>
      </w:r>
    </w:p>
    <w:p>
      <w:pPr>
        <w:pStyle w:val="Heading2"/>
      </w:pPr>
      <w:r>
        <w:t>Question 6 / 6</w:t>
      </w:r>
    </w:p>
    <w:p>
      <w:r>
        <w:t>The patient returns to your office for a follow-up examination and you notice a new presentation of several peripheral subepithelial marginal infiltrates in both eyes. Which of the following medications would be the MOST appropriate addition to your original treatment plan?</w:t>
      </w:r>
    </w:p>
    <w:p>
      <w:r>
        <w:t>a) Sulfacetamide</w:t>
      </w:r>
    </w:p>
    <w:p>
      <w:r>
        <w:t>b) Trifluridine</w:t>
      </w:r>
    </w:p>
    <w:p>
      <w:r>
        <w:t>c) Fluorometholone</w:t>
      </w:r>
    </w:p>
    <w:p>
      <w:r>
        <w:t>d) Ketorolac</w:t>
      </w:r>
    </w:p>
    <w:p>
      <w:r>
        <w:t>e) Olopatadine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