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FtDuHLCQpPfeNIIB7535 Details</w:t>
      </w:r>
    </w:p>
    <w:p>
      <w:r>
        <w:rPr>
          <w:b/>
        </w:rPr>
        <w:t>Demographics</w:t>
      </w:r>
    </w:p>
    <w:p>
      <w:pPr>
        <w:pStyle w:val="ListBullet"/>
      </w:pPr>
      <w:r>
        <w:t>31-year-old white male; architect</w:t>
      </w:r>
    </w:p>
    <w:p>
      <w:r>
        <w:rPr>
          <w:b/>
        </w:rPr>
        <w:t>Chief complaint</w:t>
      </w:r>
    </w:p>
    <w:p>
      <w:pPr>
        <w:pStyle w:val="ListBullet"/>
      </w:pPr>
      <w:r>
        <w:t>blurry vision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Character/signs/symptoms:blurred distance vision</w:t>
      </w:r>
    </w:p>
    <w:p>
      <w:pPr>
        <w:pStyle w:val="ListBullet"/>
      </w:pPr>
      <w:r>
        <w:t>Location:OD</w:t>
      </w:r>
    </w:p>
    <w:p>
      <w:pPr>
        <w:pStyle w:val="ListBullet"/>
      </w:pPr>
      <w:r>
        <w:t>Severity:mild</w:t>
      </w:r>
    </w:p>
    <w:p>
      <w:pPr>
        <w:pStyle w:val="ListBullet"/>
      </w:pPr>
      <w:r>
        <w:t>Nature of onset:gradual</w:t>
      </w:r>
    </w:p>
    <w:p>
      <w:pPr>
        <w:pStyle w:val="ListBullet"/>
      </w:pPr>
      <w:r>
        <w:t>Duration:1 year</w:t>
      </w:r>
    </w:p>
    <w:p>
      <w:pPr>
        <w:pStyle w:val="ListBullet"/>
      </w:pPr>
      <w:r>
        <w:t>Frequency:constant</w:t>
      </w:r>
    </w:p>
    <w:p>
      <w:pPr>
        <w:pStyle w:val="ListBullet"/>
      </w:pPr>
      <w:r>
        <w:t>Exacerbations/remissions:worse at night; better with squinting</w:t>
      </w:r>
    </w:p>
    <w:p>
      <w:pPr>
        <w:pStyle w:val="ListBullet"/>
      </w:pPr>
      <w:r>
        <w:t>Relationship to activity or function:none</w:t>
      </w:r>
    </w:p>
    <w:p>
      <w:pPr>
        <w:pStyle w:val="ListBullet"/>
      </w:pPr>
      <w:r>
        <w:t>Accompanying signs/symptoms:none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2 years ago; does not wear correction</w:t>
      </w:r>
    </w:p>
    <w:p>
      <w:r>
        <w:rPr>
          <w:b/>
        </w:rPr>
        <w:t>Family ocular history</w:t>
      </w:r>
    </w:p>
    <w:p>
      <w:pPr>
        <w:pStyle w:val="ListBullet"/>
      </w:pPr>
      <w:r>
        <w:t>father: herpes simplex keratitis</w:t>
      </w:r>
    </w:p>
    <w:p>
      <w:r>
        <w:rPr>
          <w:b/>
        </w:rPr>
        <w:t>Patient medical history</w:t>
      </w:r>
    </w:p>
    <w:p>
      <w:pPr>
        <w:pStyle w:val="ListBullet"/>
      </w:pPr>
      <w:r>
        <w:t>unremarkable</w:t>
      </w:r>
    </w:p>
    <w:p>
      <w:r>
        <w:rPr>
          <w:b/>
        </w:rPr>
        <w:t>Medications taken by patient</w:t>
      </w:r>
    </w:p>
    <w:p>
      <w:pPr>
        <w:pStyle w:val="ListBullet"/>
      </w:pPr>
      <w:r>
        <w:t>none</w:t>
      </w:r>
    </w:p>
    <w:p>
      <w:r>
        <w:rPr>
          <w:b/>
        </w:rPr>
        <w:t>Patient allergy history</w:t>
      </w:r>
    </w:p>
    <w:p>
      <w:pPr>
        <w:pStyle w:val="ListBullet"/>
      </w:pPr>
      <w:r>
        <w:t>NKDA</w:t>
      </w:r>
    </w:p>
    <w:p>
      <w:r>
        <w:rPr>
          <w:b/>
        </w:rPr>
        <w:t>Family medical history</w:t>
      </w:r>
    </w:p>
    <w:p>
      <w:pPr>
        <w:pStyle w:val="ListBullet"/>
      </w:pPr>
      <w:r>
        <w:t>father: hypercholesterolemia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Uncorrected visual acuity</w:t>
      </w:r>
    </w:p>
    <w:p>
      <w:pPr>
        <w:pStyle w:val="ListBullet"/>
      </w:pPr>
      <w:r>
        <w:t>OD:VA distance: 20/30, VA near: 20/20 @ 40 cm</w:t>
      </w:r>
    </w:p>
    <w:p>
      <w:pPr>
        <w:pStyle w:val="ListBullet"/>
      </w:pPr>
      <w:r>
        <w:t>OS:VA distance: 20/20, VA near: 20/20 @ 40 cm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Cover test:</w:t>
      </w:r>
    </w:p>
    <w:p>
      <w:pPr>
        <w:pStyle w:val="ListBullet"/>
      </w:pPr>
      <w:r>
        <w:t>distance: orthophoria, near: 4 exophoria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Subjective refraction</w:t>
      </w:r>
    </w:p>
    <w:p>
      <w:pPr>
        <w:pStyle w:val="ListBullet"/>
      </w:pPr>
      <w:r>
        <w:t>OD:-0.75 -0.25 x 168; VA distance: 20/20</w:t>
      </w:r>
    </w:p>
    <w:p>
      <w:pPr>
        <w:pStyle w:val="ListBullet"/>
      </w:pPr>
      <w:r>
        <w:t>OS:+0.50 DS; VA near: 20/20</w:t>
      </w:r>
    </w:p>
    <w:p>
      <w:r>
        <w:rPr>
          <w:b/>
        </w:rPr>
        <w:t>Slit lamp</w:t>
      </w:r>
    </w:p>
    <w:p>
      <w:pPr>
        <w:pStyle w:val="ListBullet"/>
      </w:pPr>
      <w:r>
        <w:t>lids/lashes/adnexa:unremarkable OD, OS</w:t>
      </w:r>
    </w:p>
    <w:p>
      <w:pPr>
        <w:pStyle w:val="ListBullet"/>
      </w:pPr>
      <w:r>
        <w:t>conjunctiva:normal OD, OS</w:t>
      </w:r>
    </w:p>
    <w:p>
      <w:pPr>
        <w:pStyle w:val="ListBullet"/>
      </w:pPr>
      <w:r>
        <w:t>cornea:see image 1 OD, see image 2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lens:clear OD, OS</w:t>
      </w:r>
    </w:p>
    <w:p>
      <w:pPr>
        <w:pStyle w:val="ListBullet"/>
      </w:pPr>
      <w:r>
        <w:t>vitreous:clear OD, OS</w:t>
      </w:r>
    </w:p>
    <w:p>
      <w:r>
        <w:rPr>
          <w:b/>
        </w:rPr>
        <w:t>IOPs:</w:t>
      </w:r>
    </w:p>
    <w:p>
      <w:pPr>
        <w:pStyle w:val="ListBullet"/>
      </w:pPr>
      <w:r>
        <w:t>OD: 12 mmHg, OS: 12 mmHg @ 12:15 pm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C/D:see image 3</w:t>
      </w:r>
    </w:p>
    <w:p>
      <w:pPr>
        <w:pStyle w:val="ListBullet"/>
      </w:pPr>
      <w:r>
        <w:t>macula:normal</w:t>
      </w:r>
    </w:p>
    <w:p>
      <w:pPr>
        <w:pStyle w:val="ListBullet"/>
      </w:pPr>
      <w:r>
        <w:t>posterior pole:normal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4</w:t>
      </w:r>
    </w:p>
    <w:p>
      <w:pPr>
        <w:pStyle w:val="ListBullet"/>
      </w:pPr>
      <w:r>
        <w:t>macula:normal</w:t>
      </w:r>
    </w:p>
    <w:p>
      <w:pPr>
        <w:pStyle w:val="ListBullet"/>
      </w:pPr>
      <w:r>
        <w:t>posterior pole:normal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118/79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68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87974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OXTQIHOYHVPGFFVN759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97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220219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XNTTPBOTJETPFMZS759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021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60043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PUXKVNWRNRGBBRBZ759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004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57797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IBZLPTWQHOJXGHAC759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79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What is the MOST appropriate diagnosis of the patient's peripheral corneal findings observed in images 1 and 2?</w:t>
      </w:r>
    </w:p>
    <w:p>
      <w:r>
        <w:t>a) Axenfeld anomaly</w:t>
      </w:r>
    </w:p>
    <w:p>
      <w:r>
        <w:t>b) Peters anomaly</w:t>
      </w:r>
    </w:p>
    <w:p>
      <w:r>
        <w:t>c) Posterior embryotoxon</w:t>
      </w:r>
    </w:p>
    <w:p>
      <w:r>
        <w:t>d) Rieger anomaly</w:t>
      </w:r>
    </w:p>
    <w:p>
      <w:pPr>
        <w:pStyle w:val="Heading2"/>
      </w:pPr>
      <w:r>
        <w:t>Question 2 / 5</w:t>
      </w:r>
    </w:p>
    <w:p>
      <w:r>
        <w:t>What is the MOST appropriate treatment for the patient's corneal findings?</w:t>
      </w:r>
    </w:p>
    <w:p>
      <w:r>
        <w:t>a) Lumigan® ophthalmic solution, 1 gtt q.h.s. OU</w:t>
      </w:r>
    </w:p>
    <w:p>
      <w:r>
        <w:t>b) No treatment is necessary at this time</w:t>
      </w:r>
    </w:p>
    <w:p>
      <w:r>
        <w:t>c) Pred Forte® ophthalmic suspension 1 gtt q.i.d. OU x 2 weeks</w:t>
      </w:r>
    </w:p>
    <w:p>
      <w:r>
        <w:t>d) Refer for laser peripheral iridotomy OU</w:t>
      </w:r>
    </w:p>
    <w:p>
      <w:r>
        <w:t>e) Muro 128® ophthalmic solution, 1 gtt q.h.s OU</w:t>
      </w:r>
    </w:p>
    <w:p>
      <w:pPr>
        <w:pStyle w:val="Heading2"/>
      </w:pPr>
      <w:r>
        <w:t>Question 3 / 5</w:t>
      </w:r>
    </w:p>
    <w:p>
      <w:r>
        <w:t>Which of the following represents the MOST appropriate follow-up for this patient?</w:t>
      </w:r>
    </w:p>
    <w:p>
      <w:r>
        <w:t>a) RTC 1 week for follow-up exam</w:t>
      </w:r>
    </w:p>
    <w:p>
      <w:r>
        <w:t>b) RTC 2 months for follow-up exam</w:t>
      </w:r>
    </w:p>
    <w:p>
      <w:r>
        <w:t>c) RTC 1 day for follow-up exam</w:t>
      </w:r>
    </w:p>
    <w:p>
      <w:r>
        <w:t>d) RTC 1 month for follow-up exam</w:t>
      </w:r>
    </w:p>
    <w:p>
      <w:r>
        <w:t>e) RTC 1 year for comprehensive exam</w:t>
      </w:r>
    </w:p>
    <w:p>
      <w:pPr>
        <w:pStyle w:val="Heading2"/>
      </w:pPr>
      <w:r>
        <w:t>Question 4 / 5</w:t>
      </w:r>
    </w:p>
    <w:p>
      <w:r>
        <w:t>Which of the following BEST describes this patient's refractive error?</w:t>
      </w:r>
    </w:p>
    <w:p>
      <w:r>
        <w:t>a) Amblyogenic</w:t>
      </w:r>
    </w:p>
    <w:p>
      <w:r>
        <w:t>b) Antimetropia</w:t>
      </w:r>
    </w:p>
    <w:p>
      <w:r>
        <w:t>c) Aniseikonia</w:t>
      </w:r>
    </w:p>
    <w:p>
      <w:r>
        <w:t>d) Simple astigmatism</w:t>
      </w:r>
    </w:p>
    <w:p>
      <w:pPr>
        <w:pStyle w:val="Heading2"/>
      </w:pPr>
      <w:r>
        <w:t>Question 5 / 5</w:t>
      </w:r>
    </w:p>
    <w:p>
      <w:r>
        <w:t>The ocular condition observed in images 1 and 2 is MOST frequently associated with individuals of what descent?</w:t>
      </w:r>
    </w:p>
    <w:p>
      <w:r>
        <w:t>a) There is no racial predilection</w:t>
      </w:r>
    </w:p>
    <w:p>
      <w:r>
        <w:t>b) Caucasian</w:t>
      </w:r>
    </w:p>
    <w:p>
      <w:r>
        <w:t>c) African-American</w:t>
      </w:r>
    </w:p>
    <w:p>
      <w:r>
        <w:t>d) Hispanic</w:t>
      </w:r>
    </w:p>
    <w:p>
      <w:r>
        <w:t>e) American-Indian</w:t>
      </w:r>
    </w:p>
    <w:p>
      <w:r>
        <w:t>f) Asian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