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GosNTRksFOWOFZi10335 Details</w:t>
      </w:r>
    </w:p>
    <w:p>
      <w:r>
        <w:rPr>
          <w:b/>
        </w:rPr>
        <w:t>Demographics</w:t>
      </w:r>
    </w:p>
    <w:p>
      <w:pPr>
        <w:pStyle w:val="ListBullet"/>
      </w:pPr>
      <w:r>
        <w:t>48-year-old black female; homemaker</w:t>
      </w:r>
    </w:p>
    <w:p>
      <w:r>
        <w:rPr>
          <w:b/>
        </w:rPr>
        <w:t>Chief complaint</w:t>
      </w:r>
    </w:p>
    <w:p>
      <w:pPr>
        <w:pStyle w:val="ListBullet"/>
      </w:pPr>
      <w:r>
        <w:t>blurred and distorted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Character/signs/symptoms:vision is blurry at all distances and straight lines appear wavy</w:t>
      </w:r>
    </w:p>
    <w:p>
      <w:pPr>
        <w:pStyle w:val="ListBullet"/>
      </w:pPr>
      <w:r>
        <w:t>Location:OD, OS (OS worse than OD)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weeks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signs/symptoms:headaches and eye fatigue with prolonged reading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3 years ago; wore glasses for reading but lost them last year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cataracts</w:t>
      </w:r>
    </w:p>
    <w:p>
      <w:r>
        <w:rPr>
          <w:b/>
        </w:rPr>
        <w:t>Patient medical history</w:t>
      </w:r>
    </w:p>
    <w:p>
      <w:pPr>
        <w:pStyle w:val="ListBullet"/>
      </w:pPr>
      <w:r>
        <w:t>appendectomy (1 year ago)</w:t>
      </w:r>
    </w:p>
    <w:p>
      <w:r>
        <w:rPr>
          <w:b/>
        </w:rPr>
        <w:t>Medications taken by patient</w:t>
      </w:r>
    </w:p>
    <w:p>
      <w:pPr>
        <w:pStyle w:val="ListBullet"/>
      </w:pPr>
      <w:r>
        <w:t>Tylenol® PRN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scoliosis, father: prostate cancer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20/25</w:t>
      </w:r>
    </w:p>
    <w:p>
      <w:pPr>
        <w:pStyle w:val="ListBullet"/>
      </w:pPr>
      <w:r>
        <w:t>OS:VA distance: 20/100 (PHNI)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OD:-0.25 -0.25 x 120; VA distance: 20/25</w:t>
      </w:r>
    </w:p>
    <w:p>
      <w:pPr>
        <w:pStyle w:val="ListBullet"/>
      </w:pPr>
      <w:r>
        <w:t>OS:-0.50 DS; VA distance: 20/100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cornea:crocodile shagreen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16 mmHg, OS: 14 mmHg @ 2:15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C/D:0.20 H/0.20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pole:similar to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macula:pigment epithelial detachment, see image 1</w:t>
      </w:r>
    </w:p>
    <w:p>
      <w:pPr>
        <w:pStyle w:val="ListBullet"/>
      </w:pPr>
      <w:r>
        <w:t>posterior pole:reddish-orange polyp-like lesion in peripapillary region, 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102/78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56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4637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KKBCLYNNHQSKMMO1039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3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Given the clinical findings and the associated image, what is the MOST likely diagnosis of the patient's retinal condition?</w:t>
      </w:r>
    </w:p>
    <w:p>
      <w:r>
        <w:t>a) Exudative macular degeneration</w:t>
      </w:r>
    </w:p>
    <w:p>
      <w:r>
        <w:t>b) Polypoidal choroidal vasculopathy</w:t>
      </w:r>
    </w:p>
    <w:p>
      <w:r>
        <w:t>c) Central serous retinopathy</w:t>
      </w:r>
    </w:p>
    <w:p>
      <w:r>
        <w:t>d) Age-related peripapillary choroidal neovascularization</w:t>
      </w:r>
    </w:p>
    <w:p>
      <w:pPr>
        <w:pStyle w:val="Heading2"/>
      </w:pPr>
      <w:r>
        <w:t>Question 2 / 5</w:t>
      </w:r>
    </w:p>
    <w:p>
      <w:r>
        <w:t>Which of the following systemic conditions is MOST commonly observed in association with this retinal condition and may increase its severity?</w:t>
      </w:r>
    </w:p>
    <w:p>
      <w:r>
        <w:t>a) Hypertension</w:t>
      </w:r>
    </w:p>
    <w:p>
      <w:r>
        <w:t>b) Hyperthyroidism</w:t>
      </w:r>
    </w:p>
    <w:p>
      <w:r>
        <w:t>c) Diabetes</w:t>
      </w:r>
    </w:p>
    <w:p>
      <w:r>
        <w:t>d) Hyperlipidemia</w:t>
      </w:r>
    </w:p>
    <w:p>
      <w:r>
        <w:t>e) Multiple sclerosis</w:t>
      </w:r>
    </w:p>
    <w:p>
      <w:pPr>
        <w:pStyle w:val="Heading2"/>
      </w:pPr>
      <w:r>
        <w:t>Question 3 / 5</w:t>
      </w:r>
    </w:p>
    <w:p>
      <w:r>
        <w:t>Which of the following imaging techniques will allow for the best diagnostic evaluation of the lesions associated with this condition?</w:t>
      </w:r>
    </w:p>
    <w:p>
      <w:r>
        <w:t>a) Fluorescein angiography</w:t>
      </w:r>
    </w:p>
    <w:p>
      <w:r>
        <w:t>b) A-scan ultrasonography</w:t>
      </w:r>
    </w:p>
    <w:p>
      <w:r>
        <w:t>c) Indocyanine green angiography</w:t>
      </w:r>
    </w:p>
    <w:p>
      <w:r>
        <w:t>d) B-scan ultrasonography</w:t>
      </w:r>
    </w:p>
    <w:p>
      <w:pPr>
        <w:pStyle w:val="Heading2"/>
      </w:pPr>
      <w:r>
        <w:t>Question 4 / 5</w:t>
      </w:r>
    </w:p>
    <w:p>
      <w:r>
        <w:t>Which 2 of the following populations have the highest predilection for developing this retinal condition? (Select 2)</w:t>
      </w:r>
    </w:p>
    <w:p>
      <w:r>
        <w:t>a) Asian</w:t>
      </w:r>
    </w:p>
    <w:p>
      <w:r>
        <w:t>b) American-Indian</w:t>
      </w:r>
    </w:p>
    <w:p>
      <w:r>
        <w:t>c) Eastern European</w:t>
      </w:r>
    </w:p>
    <w:p>
      <w:r>
        <w:t>d) Hispanic</w:t>
      </w:r>
    </w:p>
    <w:p>
      <w:r>
        <w:t>e) African-American</w:t>
      </w:r>
    </w:p>
    <w:p>
      <w:r>
        <w:t>f) Caucasian</w:t>
      </w:r>
    </w:p>
    <w:p>
      <w:pPr>
        <w:pStyle w:val="Heading2"/>
      </w:pPr>
      <w:r>
        <w:t>Question 5 / 5</w:t>
      </w:r>
    </w:p>
    <w:p>
      <w:r>
        <w:t>An elderly patient visits your office and you suspect that he is being abused. Which of the following actions should you take as an optometrist?</w:t>
      </w:r>
    </w:p>
    <w:p>
      <w:r>
        <w:t>a) Report your suspicions to the patient's caretaker</w:t>
      </w:r>
    </w:p>
    <w:p>
      <w:r>
        <w:t>b) Inform the appropriate agencies as dictated by state law</w:t>
      </w:r>
    </w:p>
    <w:p>
      <w:r>
        <w:t>c) Confront your patient and directly ask him if he is being abused</w:t>
      </w:r>
    </w:p>
    <w:p>
      <w:r>
        <w:t>d) Take no action as your suspicions may be unwarranted</w:t>
      </w:r>
    </w:p>
    <w:p>
      <w:r>
        <w:t>e) Reports your suspicions to the patient’s next of kin</w:t>
      </w:r>
    </w:p>
    <w:p>
      <w:r>
        <w:t>f) Teach the patient how to protect himself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