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KPUvlzRQQpZbQxh13481 Details</w:t>
      </w:r>
    </w:p>
    <w:p>
      <w:r>
        <w:rPr>
          <w:b/>
        </w:rPr>
        <w:t>Demographics</w:t>
      </w:r>
    </w:p>
    <w:p>
      <w:pPr>
        <w:pStyle w:val="ListBullet"/>
      </w:pPr>
      <w:r>
        <w:t>42-year-old Hispanic female; flight attendant</w:t>
      </w:r>
    </w:p>
    <w:p>
      <w:r>
        <w:rPr>
          <w:b/>
        </w:rPr>
        <w:t>Chief complaint</w:t>
      </w:r>
    </w:p>
    <w:p>
      <w:pPr>
        <w:pStyle w:val="ListBullet"/>
      </w:pPr>
      <w:r>
        <w:t>decreased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Character/signs/symptoms:blurry vision at near</w:t>
      </w:r>
    </w:p>
    <w:p>
      <w:pPr>
        <w:pStyle w:val="ListBullet"/>
      </w:pPr>
      <w:r>
        <w:t>Location:OD, OS (OD worse than OS)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Duration:3 months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in dim illumination, better with bright lighting</w:t>
      </w:r>
    </w:p>
    <w:p>
      <w:pPr>
        <w:pStyle w:val="ListBullet"/>
      </w:pPr>
      <w:r>
        <w:t>Relationship to activity or function:notices when reading, using phone and iPad</w:t>
      </w:r>
    </w:p>
    <w:p>
      <w:pPr>
        <w:pStyle w:val="ListBullet"/>
      </w:pPr>
      <w:r>
        <w:t>Accompanying signs/symptoms:fatigue and eyestrain</w:t>
      </w:r>
    </w:p>
    <w:p>
      <w:r>
        <w:rPr>
          <w:b/>
        </w:rPr>
        <w:t>Secondary complaints/symptoms</w:t>
      </w:r>
    </w:p>
    <w:p>
      <w:pPr>
        <w:pStyle w:val="ListBullet"/>
      </w:pPr>
      <w:r>
        <w:t>occasional burning and stinging, mostly while working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3 years ago; unremarkable</w:t>
      </w:r>
    </w:p>
    <w:p>
      <w:r>
        <w:rPr>
          <w:b/>
        </w:rPr>
        <w:t>Family ocular history</w:t>
      </w:r>
    </w:p>
    <w:p>
      <w:pPr>
        <w:pStyle w:val="ListBullet"/>
      </w:pPr>
      <w:r>
        <w:t>father: corneal transplant</w:t>
      </w:r>
    </w:p>
    <w:p>
      <w:r>
        <w:rPr>
          <w:b/>
        </w:rPr>
        <w:t>Patient medical history</w:t>
      </w:r>
    </w:p>
    <w:p>
      <w:pPr>
        <w:pStyle w:val="ListBullet"/>
      </w:pPr>
      <w:r>
        <w:t>gastroenteritis</w:t>
      </w:r>
    </w:p>
    <w:p>
      <w:r>
        <w:rPr>
          <w:b/>
        </w:rPr>
        <w:t>Medications taken by patient</w:t>
      </w:r>
    </w:p>
    <w:p>
      <w:pPr>
        <w:pStyle w:val="ListBullet"/>
      </w:pPr>
      <w:r>
        <w:t>Imodium®</w:t>
      </w:r>
    </w:p>
    <w:p>
      <w:r>
        <w:rPr>
          <w:b/>
        </w:rPr>
        <w:t>Patient allergy history</w:t>
      </w:r>
    </w:p>
    <w:p>
      <w:pPr>
        <w:pStyle w:val="ListBullet"/>
      </w:pPr>
      <w:r>
        <w:t>penicillin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hypothyroidism, father: colon cancer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Gastrointestinal:cramping, diarrhea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20/30, VA near: 20/50 @ 40 cm</w:t>
      </w:r>
    </w:p>
    <w:p>
      <w:pPr>
        <w:pStyle w:val="ListBullet"/>
      </w:pPr>
      <w:r>
        <w:t>OS:VA distance: 20/30, VA near: 20/50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2 esophoria, near: 4 esophoria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OD:+1.50 -1.00 x 025 add: +1.00; VA distance: 20/20, VA near: 20/20 @ 40 cm</w:t>
      </w:r>
    </w:p>
    <w:p>
      <w:pPr>
        <w:pStyle w:val="ListBullet"/>
      </w:pPr>
      <w:r>
        <w:t>OS:+0.75 -1.25 x 010 add: +1.00; VA distance: 20/20, VA near: 20/20 @ 40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chamber:narrow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16 mmHg, OS: 16 mmHg @ 5:05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C/D:similar to image 1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pole:similar to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110/75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70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530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VGOULMEKNEYWOIP135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0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What is the MOST likely diagnosis of the patient's right eye retinal condition?</w:t>
      </w:r>
    </w:p>
    <w:p>
      <w:r>
        <w:t>a) Choroidal nevus</w:t>
      </w:r>
    </w:p>
    <w:p>
      <w:r>
        <w:t>b) Congenital hypertrophy of the retinal pigment epithelium</w:t>
      </w:r>
    </w:p>
    <w:p>
      <w:r>
        <w:t>c) Reactive hyperplasia of the retinal pigment epithelium</w:t>
      </w:r>
    </w:p>
    <w:p>
      <w:r>
        <w:t>d) Choroidal melanoma</w:t>
      </w:r>
    </w:p>
    <w:p>
      <w:pPr>
        <w:pStyle w:val="Heading2"/>
      </w:pPr>
      <w:r>
        <w:t>Question 2 / 6</w:t>
      </w:r>
    </w:p>
    <w:p>
      <w:r>
        <w:t>Given the patient's history and retinal findings, what further testing should be performed at this time?</w:t>
      </w:r>
    </w:p>
    <w:p>
      <w:r>
        <w:t>a) B-scan ultrasonography</w:t>
      </w:r>
    </w:p>
    <w:p>
      <w:r>
        <w:t>b) A colonoscopy</w:t>
      </w:r>
    </w:p>
    <w:p>
      <w:r>
        <w:t>c) No further testing is needed</w:t>
      </w:r>
    </w:p>
    <w:p>
      <w:r>
        <w:t>d) An MRI of the chest area</w:t>
      </w:r>
    </w:p>
    <w:p>
      <w:r>
        <w:t>e) A lung biopsy</w:t>
      </w:r>
    </w:p>
    <w:p>
      <w:r>
        <w:t>f) An X-ray of the sacroiliac region</w:t>
      </w:r>
    </w:p>
    <w:p>
      <w:pPr>
        <w:pStyle w:val="Heading2"/>
      </w:pPr>
      <w:r>
        <w:t>Question 3 / 6</w:t>
      </w:r>
    </w:p>
    <w:p>
      <w:r>
        <w:t>Which of the following in-office tests would help you distinguish whether the lesions are located in the choroid or at the level of the retinal pigment epithelium?</w:t>
      </w:r>
    </w:p>
    <w:p>
      <w:r>
        <w:t>a) Evaluation with a red-free filter</w:t>
      </w:r>
    </w:p>
    <w:p>
      <w:r>
        <w:t>b) A-scan ultrasonography</w:t>
      </w:r>
    </w:p>
    <w:p>
      <w:r>
        <w:t>c) Watzke-Allen test</w:t>
      </w:r>
    </w:p>
    <w:p>
      <w:r>
        <w:t>d) Threshold visual field</w:t>
      </w:r>
    </w:p>
    <w:p>
      <w:pPr>
        <w:pStyle w:val="Heading2"/>
      </w:pPr>
      <w:r>
        <w:t>Question 4 / 6</w:t>
      </w:r>
    </w:p>
    <w:p>
      <w:r>
        <w:t>What is the MOST appropriate diagnosis of the patient's refractive error of the right eye and left eye, respectively?</w:t>
      </w:r>
    </w:p>
    <w:p>
      <w:r>
        <w:t>a) OD: compound hyperopic astigmatism; OS: simple hyperopic astigmatism</w:t>
      </w:r>
    </w:p>
    <w:p>
      <w:r>
        <w:t>b) OD: simple hyperopic astigmatism; OS: mixed astigmatism</w:t>
      </w:r>
    </w:p>
    <w:p>
      <w:r>
        <w:t>c) OD: compound hyperopic astigmatism; OS: mixed astigmatism</w:t>
      </w:r>
    </w:p>
    <w:p>
      <w:r>
        <w:t>d) OD: compound hyperopic astigmatism; OS: compound hyperopic astigmatism</w:t>
      </w:r>
    </w:p>
    <w:p>
      <w:r>
        <w:t>e) OD: simple hyperopic astigmatism; OS: simple hyperopic astigmatism</w:t>
      </w:r>
    </w:p>
    <w:p>
      <w:r>
        <w:t>f) OD: mixed astigmatism; OS: mixed astigmatism</w:t>
      </w:r>
    </w:p>
    <w:p>
      <w:pPr>
        <w:pStyle w:val="Heading2"/>
      </w:pPr>
      <w:r>
        <w:t>Question 5 / 6</w:t>
      </w:r>
    </w:p>
    <w:p>
      <w:r>
        <w:t>At what age do the retinal lesions observed in image 1 typically present?</w:t>
      </w:r>
    </w:p>
    <w:p>
      <w:r>
        <w:t>a) Between ages 60-90</w:t>
      </w:r>
    </w:p>
    <w:p>
      <w:r>
        <w:t>b) Between ages 20-40</w:t>
      </w:r>
    </w:p>
    <w:p>
      <w:r>
        <w:t>c) Between ages 40-60</w:t>
      </w:r>
    </w:p>
    <w:p>
      <w:r>
        <w:t>d) Between ages 10-20</w:t>
      </w:r>
    </w:p>
    <w:p>
      <w:r>
        <w:t>e) At birth</w:t>
      </w:r>
    </w:p>
    <w:p>
      <w:r>
        <w:t>f) Between ages 1-10</w:t>
      </w:r>
    </w:p>
    <w:p>
      <w:pPr>
        <w:pStyle w:val="Heading2"/>
      </w:pPr>
      <w:r>
        <w:t>Question 6 / 6</w:t>
      </w:r>
    </w:p>
    <w:p>
      <w:r>
        <w:t>Which area of the retina represents the MOST common site of these lesions?</w:t>
      </w:r>
    </w:p>
    <w:p>
      <w:r>
        <w:t>a) Nasal quadrant</w:t>
      </w:r>
    </w:p>
    <w:p>
      <w:r>
        <w:t>b) Inferior quadrant</w:t>
      </w:r>
    </w:p>
    <w:p>
      <w:r>
        <w:t>c) Temporal quadrant</w:t>
      </w:r>
    </w:p>
    <w:p>
      <w:r>
        <w:t>d) Superior quadrant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