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PkPWNTFFPyYprsu10754 Details</w:t>
      </w:r>
    </w:p>
    <w:p>
      <w:r>
        <w:rPr>
          <w:b/>
        </w:rPr>
        <w:t>Demographics</w:t>
      </w:r>
    </w:p>
    <w:p>
      <w:pPr>
        <w:pStyle w:val="ListBullet"/>
      </w:pPr>
      <w:r>
        <w:t>34-year-old Asian female; housekeeper</w:t>
      </w:r>
    </w:p>
    <w:p>
      <w:r>
        <w:rPr>
          <w:b/>
        </w:rPr>
        <w:t>Chief complaint</w:t>
      </w:r>
    </w:p>
    <w:p>
      <w:pPr>
        <w:pStyle w:val="ListBullet"/>
      </w:pPr>
      <w:r>
        <w:t>eye pain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Character/signs/symptoms:eye is painful, watery, and sensitive to light</w:t>
      </w:r>
    </w:p>
    <w:p>
      <w:pPr>
        <w:pStyle w:val="ListBullet"/>
      </w:pPr>
      <w:r>
        <w:t>Location:OD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Duration:5 minutes (patient ran over from a house down the street)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Exacerbations/remissions:better if she keeps her eyes closed, worse with blinking</w:t>
      </w:r>
    </w:p>
    <w:p>
      <w:pPr>
        <w:pStyle w:val="ListBullet"/>
      </w:pPr>
      <w:r>
        <w:t>Relationship to activity or function:a bottle of vinegar dropped and the contents splashed into her eye</w:t>
      </w:r>
    </w:p>
    <w:p>
      <w:pPr>
        <w:pStyle w:val="ListBullet"/>
      </w:pPr>
      <w:r>
        <w:t>Accompanying signs/symptoms:blurred vision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5 years ago; unremarkable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history of gastrointestinal bleeding</w:t>
      </w:r>
    </w:p>
    <w:p>
      <w:r>
        <w:rPr>
          <w:b/>
        </w:rPr>
        <w:t>Medications taken by patient</w:t>
      </w:r>
    </w:p>
    <w:p>
      <w:pPr>
        <w:pStyle w:val="ListBullet"/>
      </w:pPr>
      <w:r>
        <w:t>Maalox®, multivitamins</w:t>
      </w:r>
    </w:p>
    <w:p>
      <w:r>
        <w:rPr>
          <w:b/>
        </w:rPr>
        <w:t>Patient allergy history</w:t>
      </w:r>
    </w:p>
    <w:p>
      <w:pPr>
        <w:pStyle w:val="ListBullet"/>
      </w:pPr>
      <w:r>
        <w:t>penicillin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cardiovascular disease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20/30</w:t>
      </w:r>
    </w:p>
    <w:p>
      <w:pPr>
        <w:pStyle w:val="ListBullet"/>
      </w:pPr>
      <w:r>
        <w:t>OS:VA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conjunctiva:see image 1 OD, normal OS</w:t>
      </w:r>
    </w:p>
    <w:p>
      <w:pPr>
        <w:pStyle w:val="ListBullet"/>
      </w:pPr>
      <w:r>
        <w:t>cornea:see image 1 OD, clear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OD:13  mmHg, OS: 12 mmHg @ 3:35 pm by iCare tonometer</w:t>
      </w:r>
    </w:p>
    <w:p>
      <w:r>
        <w:rPr>
          <w:b/>
        </w:rPr>
        <w:t>Fundus OD</w:t>
      </w:r>
    </w:p>
    <w:p>
      <w:pPr>
        <w:pStyle w:val="ListBullet"/>
      </w:pPr>
      <w:r>
        <w:t>C/D:0.25 H/ 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C/D:0.25 H/ 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drawing>
          <wp:inline xmlns:a="http://schemas.openxmlformats.org/drawingml/2006/main" xmlns:pic="http://schemas.openxmlformats.org/drawingml/2006/picture">
            <wp:extent cx="1828800" cy="12466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PKRUFLMNHDBVTHN108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6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Which of the following BEST describes the solution that caused the corneal chemical burn in this patient?</w:t>
      </w:r>
    </w:p>
    <w:p>
      <w:r>
        <w:t>a) Acidic solution with a pH &gt; 10</w:t>
      </w:r>
    </w:p>
    <w:p>
      <w:r>
        <w:t>b) Irritant with a neutral pH</w:t>
      </w:r>
    </w:p>
    <w:p>
      <w:r>
        <w:t>c) Alkaline solution with a pH &lt; 4</w:t>
      </w:r>
    </w:p>
    <w:p>
      <w:r>
        <w:t>d) Alkaline solution with a pH &gt; 10</w:t>
      </w:r>
    </w:p>
    <w:p>
      <w:r>
        <w:t>e) Acidic solution with a pH &lt; 4</w:t>
      </w:r>
    </w:p>
    <w:p>
      <w:pPr>
        <w:pStyle w:val="Heading2"/>
      </w:pPr>
      <w:r>
        <w:t>Question 2 / 5</w:t>
      </w:r>
    </w:p>
    <w:p>
      <w:r>
        <w:t>Which of the following is TRUE regarding the pathophysiology of ocular chemical burns?</w:t>
      </w:r>
    </w:p>
    <w:p>
      <w:r>
        <w:t>a) Alkaline burns are typically confined to superficial tissues</w:t>
      </w:r>
    </w:p>
    <w:p>
      <w:r>
        <w:t>b) Acidic burns occur more frequently than alkali burns</w:t>
      </w:r>
    </w:p>
    <w:p>
      <w:r>
        <w:t>c) Acids tend to bind with tissue proteins and coagulate the surface epithelium</w:t>
      </w:r>
    </w:p>
    <w:p>
      <w:r>
        <w:t>d) Acidic burns may continue to penetrate the cornea long after the initial trauma</w:t>
      </w:r>
    </w:p>
    <w:p>
      <w:pPr>
        <w:pStyle w:val="Heading2"/>
      </w:pPr>
      <w:r>
        <w:t>Question 3 / 5</w:t>
      </w:r>
    </w:p>
    <w:p>
      <w:r>
        <w:t>Which of the following best describes the FIRST action that should be taken when a patient with an ocular chemical burn presents to your office?</w:t>
      </w:r>
    </w:p>
    <w:p>
      <w:r>
        <w:t>a) Copious irrigation with saline solution</w:t>
      </w:r>
    </w:p>
    <w:p>
      <w:r>
        <w:t>b) Copious irrigation with a weak basic solution to neutralize the acidic chemical</w:t>
      </w:r>
    </w:p>
    <w:p>
      <w:r>
        <w:t>c) Copious irrigation with a weak acidic solution to neutralize the alkaline chemical</w:t>
      </w:r>
    </w:p>
    <w:p>
      <w:r>
        <w:t>d) Detailed case history</w:t>
      </w:r>
    </w:p>
    <w:p>
      <w:r>
        <w:t>e) Careful examination of the corneas with slit-lamp biomicroscope</w:t>
      </w:r>
    </w:p>
    <w:p>
      <w:pPr>
        <w:pStyle w:val="Heading2"/>
      </w:pPr>
      <w:r>
        <w:t>Question 4 / 5</w:t>
      </w:r>
    </w:p>
    <w:p>
      <w:r>
        <w:t>Which of the following topical medications is NOT indicated in the treatment of patients suffering from a corneal chemical burn?</w:t>
      </w:r>
    </w:p>
    <w:p>
      <w:r>
        <w:t>a) Scopolamine</w:t>
      </w:r>
    </w:p>
    <w:p>
      <w:r>
        <w:t>b) Pilocarpine</w:t>
      </w:r>
    </w:p>
    <w:p>
      <w:r>
        <w:t>c) Prednisolone acetate</w:t>
      </w:r>
    </w:p>
    <w:p>
      <w:r>
        <w:t>d) Ketorolac</w:t>
      </w:r>
    </w:p>
    <w:p>
      <w:r>
        <w:t>e) Moxifloxacin</w:t>
      </w:r>
    </w:p>
    <w:p>
      <w:pPr>
        <w:pStyle w:val="Heading2"/>
      </w:pPr>
      <w:r>
        <w:t>Question 5 / 5</w:t>
      </w:r>
    </w:p>
    <w:p>
      <w:r>
        <w:t>Which of the following oral pain management medications should be used with caution in this patient?</w:t>
      </w:r>
    </w:p>
    <w:p>
      <w:r>
        <w:t>a) Advil®</w:t>
      </w:r>
    </w:p>
    <w:p>
      <w:r>
        <w:t>b) Aleve®</w:t>
      </w:r>
    </w:p>
    <w:p>
      <w:r>
        <w:t>c) Tylenol®</w:t>
      </w:r>
    </w:p>
    <w:p>
      <w:r>
        <w:t>d) Aspirin®</w:t>
      </w:r>
    </w:p>
    <w:p>
      <w:r>
        <w:t>e) Motrin®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