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XGVfAnFZtYUfupBVAh84 Details</w:t>
      </w:r>
    </w:p>
    <w:p>
      <w:r>
        <w:rPr>
          <w:b/>
        </w:rPr>
        <w:t>Demographics</w:t>
      </w:r>
    </w:p>
    <w:p>
      <w:pPr>
        <w:pStyle w:val="ListBullet"/>
      </w:pPr>
      <w:r>
        <w:t>7-year-old Asian female; student</w:t>
      </w:r>
    </w:p>
    <w:p>
      <w:r>
        <w:rPr>
          <w:b/>
        </w:rPr>
        <w:t>Chief complaint</w:t>
      </w:r>
    </w:p>
    <w:p>
      <w:pPr>
        <w:pStyle w:val="ListBullet"/>
      </w:pPr>
      <w:r>
        <w:t>blurred vision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Character/signs/symptoms:vision becomes blurry during periods of prolonged near work</w:t>
      </w:r>
    </w:p>
    <w:p>
      <w:pPr>
        <w:pStyle w:val="ListBullet"/>
      </w:pPr>
      <w:r>
        <w:t>Location:OD, OS</w:t>
      </w:r>
    </w:p>
    <w:p>
      <w:pPr>
        <w:pStyle w:val="ListBullet"/>
      </w:pPr>
      <w:r>
        <w:t>Severity:moderate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Duration:1 year</w:t>
      </w:r>
    </w:p>
    <w:p>
      <w:pPr>
        <w:pStyle w:val="ListBullet"/>
      </w:pPr>
      <w:r>
        <w:t>Frequency:daily</w:t>
      </w:r>
    </w:p>
    <w:p>
      <w:pPr>
        <w:pStyle w:val="ListBullet"/>
      </w:pPr>
      <w:r>
        <w:t>Exacerbations/remissions:worse at the end of the day; improves with rest</w:t>
      </w:r>
    </w:p>
    <w:p>
      <w:pPr>
        <w:pStyle w:val="ListBullet"/>
      </w:pPr>
      <w:r>
        <w:t>Relationship to activity or function:occurs after 20 minutes of reading (or other near work)</w:t>
      </w:r>
    </w:p>
    <w:p>
      <w:pPr>
        <w:pStyle w:val="ListBullet"/>
      </w:pPr>
      <w:r>
        <w:t>Accompanying signs/symptoms:fatigue, eyestrain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1st eye exam</w:t>
      </w:r>
    </w:p>
    <w:p>
      <w:r>
        <w:rPr>
          <w:b/>
        </w:rPr>
        <w:t>Family ocular history</w:t>
      </w:r>
    </w:p>
    <w:p>
      <w:pPr>
        <w:pStyle w:val="ListBullet"/>
      </w:pPr>
      <w:r>
        <w:t>mother: strabismus</w:t>
      </w:r>
    </w:p>
    <w:p>
      <w:r>
        <w:rPr>
          <w:b/>
        </w:rPr>
        <w:t>Patient medical history</w:t>
      </w:r>
    </w:p>
    <w:p>
      <w:pPr>
        <w:pStyle w:val="ListBullet"/>
      </w:pPr>
      <w:r>
        <w:t>unremarkable</w:t>
      </w:r>
    </w:p>
    <w:p>
      <w:r>
        <w:rPr>
          <w:b/>
        </w:rPr>
        <w:t>Medications taken by patient</w:t>
      </w:r>
    </w:p>
    <w:p>
      <w:pPr>
        <w:pStyle w:val="ListBullet"/>
      </w:pPr>
      <w:r>
        <w:t>multivitamins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unremarkable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OD:distance: 20/20, near: 20/20 @ 40 cm</w:t>
      </w:r>
    </w:p>
    <w:p>
      <w:pPr>
        <w:pStyle w:val="ListBullet"/>
      </w:pPr>
      <w:r>
        <w:t>OS:distance: 20/20, near: 20/20 @ 40 cm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Cover test:</w:t>
      </w:r>
    </w:p>
    <w:p>
      <w:pPr>
        <w:pStyle w:val="ListBullet"/>
      </w:pPr>
      <w:r>
        <w:t>distance: 2 exophoria, near: 2 exophoria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Oculomotor system</w:t>
      </w:r>
    </w:p>
    <w:p>
      <w:pPr>
        <w:pStyle w:val="ListBullet"/>
      </w:pPr>
      <w:r>
        <w:t>Pursuits:normal</w:t>
      </w:r>
    </w:p>
    <w:p>
      <w:pPr>
        <w:pStyle w:val="ListBullet"/>
      </w:pPr>
      <w:r>
        <w:t>Saccades:normal</w:t>
      </w:r>
    </w:p>
    <w:p>
      <w:pPr>
        <w:pStyle w:val="ListBullet"/>
      </w:pPr>
      <w:r>
        <w:t>Fixations:normal</w:t>
      </w:r>
    </w:p>
    <w:p>
      <w:r>
        <w:rPr>
          <w:b/>
        </w:rPr>
        <w:t>Subjective refraction</w:t>
      </w:r>
    </w:p>
    <w:p>
      <w:pPr>
        <w:pStyle w:val="ListBullet"/>
      </w:pPr>
      <w:r>
        <w:t>OD:+0.25 -0.25 x 005; VA distance: 20/20, VA near: 20/20 @ 40 cm</w:t>
      </w:r>
    </w:p>
    <w:p>
      <w:pPr>
        <w:pStyle w:val="ListBullet"/>
      </w:pPr>
      <w:r>
        <w:t>OS:plano -0.25 x 180; VA distance: 20/20, VA near: 20/20 @ 40 cm</w:t>
      </w:r>
    </w:p>
    <w:p>
      <w:r>
        <w:rPr>
          <w:b/>
        </w:rPr>
        <w:t>Accommodative system</w:t>
      </w:r>
    </w:p>
    <w:p>
      <w:pPr>
        <w:pStyle w:val="ListBullet"/>
      </w:pPr>
      <w:r>
        <w:t>Amplitudes:OD: 5 D, OS: 5 D, OU: 6 D</w:t>
      </w:r>
    </w:p>
    <w:p>
      <w:pPr>
        <w:pStyle w:val="ListBullet"/>
      </w:pPr>
      <w:r>
        <w:t>Facility (+/- 2.00):OD: 5 cycles/minute, OS: 5 cycles/minute, OU: 4 cycles/minute</w:t>
      </w:r>
    </w:p>
    <w:p>
      <w:pPr>
        <w:pStyle w:val="ListBullet"/>
      </w:pPr>
      <w:r>
        <w:t>NRA/PRA:+1.50 / -0.50</w:t>
      </w:r>
    </w:p>
    <w:p>
      <w:pPr>
        <w:pStyle w:val="ListBullet"/>
      </w:pPr>
      <w:r>
        <w:t>Monocular estimation method (MEM):OD: +1.00, OS: +1.00</w:t>
      </w:r>
    </w:p>
    <w:p>
      <w:r>
        <w:rPr>
          <w:b/>
        </w:rPr>
        <w:t>Vergence system</w:t>
      </w:r>
    </w:p>
    <w:p>
      <w:pPr>
        <w:pStyle w:val="ListBullet"/>
      </w:pPr>
      <w:r>
        <w:t>NPC:3 cm</w:t>
      </w:r>
    </w:p>
    <w:p>
      <w:pPr>
        <w:pStyle w:val="ListBullet"/>
      </w:pPr>
      <w:r>
        <w:t>Vergences:NFV @ far: x/6/3, NFV @ near: 11/22/14; PFV @ far: 11/19/11, PFV @ near: 18/22/19</w:t>
      </w:r>
    </w:p>
    <w:p>
      <w:pPr>
        <w:pStyle w:val="ListBullet"/>
      </w:pPr>
      <w:r>
        <w:t>Facility:8 base-out/8 base-in: 9 cycles/minute @ 40 cm</w:t>
      </w:r>
    </w:p>
    <w:p>
      <w:r>
        <w:rPr>
          <w:b/>
        </w:rPr>
        <w:t>Sensory system</w:t>
      </w:r>
    </w:p>
    <w:p>
      <w:pPr>
        <w:pStyle w:val="ListBullet"/>
      </w:pPr>
      <w:r>
        <w:t>Worth 4 dot:far: no suppression, near: no suppression</w:t>
      </w:r>
    </w:p>
    <w:p>
      <w:pPr>
        <w:pStyle w:val="ListBullet"/>
      </w:pPr>
      <w:r>
        <w:t>Stereopsis:25"</w:t>
      </w:r>
    </w:p>
    <w:p>
      <w:r>
        <w:rPr>
          <w:b/>
        </w:rPr>
        <w:t>DEM test (percentile rank):</w:t>
      </w:r>
    </w:p>
    <w:p>
      <w:pPr>
        <w:pStyle w:val="ListBullet"/>
      </w:pPr>
      <w:r>
        <w:t>50% horizontal, 60% vertical, 55% ratio, 99% errors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lens:epicapsular stars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15 mmHg, OS: 15 mmHg @ 1:15 pm by iCare tonometer</w:t>
      </w:r>
    </w:p>
    <w:p>
      <w:r>
        <w:rPr>
          <w:b/>
        </w:rPr>
        <w:t>Fundus OD</w:t>
      </w:r>
    </w:p>
    <w:p>
      <w:pPr>
        <w:pStyle w:val="ListBullet"/>
      </w:pPr>
      <w:r>
        <w:t>C/D:see image 1</w:t>
      </w:r>
    </w:p>
    <w:p>
      <w:pPr>
        <w:pStyle w:val="ListBullet"/>
      </w:pPr>
      <w:r>
        <w:t>macula:see image 1</w:t>
      </w:r>
    </w:p>
    <w:p>
      <w:pPr>
        <w:pStyle w:val="ListBullet"/>
      </w:pPr>
      <w:r>
        <w:t>posterior pole:see image 1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C/D:see image 2</w:t>
      </w:r>
    </w:p>
    <w:p>
      <w:pPr>
        <w:pStyle w:val="ListBullet"/>
      </w:pPr>
      <w:r>
        <w:t>macula:see image 2</w:t>
      </w:r>
    </w:p>
    <w:p>
      <w:pPr>
        <w:pStyle w:val="ListBullet"/>
      </w:pPr>
      <w:r>
        <w:t>posterior pole:see image 2</w:t>
      </w:r>
    </w:p>
    <w:p>
      <w:pPr>
        <w:pStyle w:val="ListBullet"/>
      </w:pPr>
      <w:r>
        <w:t>periphery:unremarkable</w:t>
      </w:r>
    </w:p>
    <w:p>
      <w:r>
        <w:drawing>
          <wp:inline xmlns:a="http://schemas.openxmlformats.org/drawingml/2006/main" xmlns:pic="http://schemas.openxmlformats.org/drawingml/2006/picture">
            <wp:extent cx="1828800" cy="14567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GVLQNTANECNEPDJJ745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567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4743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AIMVHWCMZOTNYSGP745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743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Based on the examination findings, what is the MOST likely cause of the patient's symptoms associated with prolonged near work?</w:t>
      </w:r>
    </w:p>
    <w:p>
      <w:r>
        <w:t>a) Convergence excess</w:t>
      </w:r>
    </w:p>
    <w:p>
      <w:r>
        <w:t>b) Accommodative insufficiency</w:t>
      </w:r>
    </w:p>
    <w:p>
      <w:r>
        <w:t>c) Convergence insufficiency</w:t>
      </w:r>
    </w:p>
    <w:p>
      <w:r>
        <w:t>d) Accommodative excess</w:t>
      </w:r>
    </w:p>
    <w:p>
      <w:r>
        <w:t>e) Divergence excess</w:t>
      </w:r>
    </w:p>
    <w:p>
      <w:pPr>
        <w:pStyle w:val="Heading2"/>
      </w:pPr>
      <w:r>
        <w:t>Question 2 / 5</w:t>
      </w:r>
    </w:p>
    <w:p>
      <w:r>
        <w:t>According to Hofstetter's formula, given this patient's age, what would her expected minimum monocular amplitude of accommodation be via the push-up method (rounded to the nearest whole dioptric value)?</w:t>
      </w:r>
    </w:p>
    <w:p>
      <w:r>
        <w:t>a) 8 D</w:t>
      </w:r>
    </w:p>
    <w:p>
      <w:r>
        <w:t>b) 15 D</w:t>
      </w:r>
    </w:p>
    <w:p>
      <w:r>
        <w:t>c) 11 D</w:t>
      </w:r>
    </w:p>
    <w:p>
      <w:r>
        <w:t>d) 10 D</w:t>
      </w:r>
    </w:p>
    <w:p>
      <w:r>
        <w:t>e) 13 D</w:t>
      </w:r>
    </w:p>
    <w:p>
      <w:pPr>
        <w:pStyle w:val="Heading2"/>
      </w:pPr>
      <w:r>
        <w:t>Question 3 / 5</w:t>
      </w:r>
    </w:p>
    <w:p>
      <w:r>
        <w:t>Which 2 of the following vision therapy techniques should be prescribed in order to help relieve this patient's symptoms? (Select 2)</w:t>
      </w:r>
    </w:p>
    <w:p>
      <w:r>
        <w:t>a) Monocular push-ups</w:t>
      </w:r>
    </w:p>
    <w:p>
      <w:r>
        <w:t>b) Binocular pencil push-ups</w:t>
      </w:r>
    </w:p>
    <w:p>
      <w:r>
        <w:t>c) Monocular lens clearing and sorting</w:t>
      </w:r>
    </w:p>
    <w:p>
      <w:r>
        <w:t>d) Brock string</w:t>
      </w:r>
    </w:p>
    <w:p>
      <w:r>
        <w:t>e) Percon saccades</w:t>
      </w:r>
    </w:p>
    <w:p>
      <w:r>
        <w:t>f) Vectograms</w:t>
      </w:r>
    </w:p>
    <w:p>
      <w:r>
        <w:t>g) Pencil saccades</w:t>
      </w:r>
    </w:p>
    <w:p>
      <w:pPr>
        <w:pStyle w:val="Heading2"/>
      </w:pPr>
      <w:r>
        <w:t>Question 4 / 5</w:t>
      </w:r>
    </w:p>
    <w:p>
      <w:r>
        <w:t>Which of the following monocular estimation method (MEM) findings is ALWAYS considered abnormal?</w:t>
      </w:r>
    </w:p>
    <w:p>
      <w:r>
        <w:t>a) Any lag</w:t>
      </w:r>
    </w:p>
    <w:p>
      <w:r>
        <w:t>b) Any lead</w:t>
      </w:r>
    </w:p>
    <w:p>
      <w:r>
        <w:t>c) +0.25</w:t>
      </w:r>
    </w:p>
    <w:p>
      <w:r>
        <w:t>d) +0.50</w:t>
      </w:r>
    </w:p>
    <w:p>
      <w:r>
        <w:t>e) Plano</w:t>
      </w:r>
    </w:p>
    <w:p>
      <w:pPr>
        <w:pStyle w:val="Heading2"/>
      </w:pPr>
      <w:r>
        <w:t>Question 5 / 5</w:t>
      </w:r>
    </w:p>
    <w:p>
      <w:r>
        <w:t>If the patient’s parents decided not to have the patient undergo vision therapy, which of the following alternative options would BEST help relieve her symptoms?</w:t>
      </w:r>
    </w:p>
    <w:p>
      <w:r>
        <w:t>a) There are no other options available to this patient</w:t>
      </w:r>
    </w:p>
    <w:p>
      <w:r>
        <w:t>b) Prescribe glasses with base-in prism for use with prolonged near work</w:t>
      </w:r>
    </w:p>
    <w:p>
      <w:r>
        <w:t>c) Prescribe +1.00 DS OU glasses for use with prolonged near work</w:t>
      </w:r>
    </w:p>
    <w:p>
      <w:r>
        <w:t>d) Prescribe -1.00 DS OU glasses for distance use</w:t>
      </w:r>
    </w:p>
    <w:p>
      <w:r>
        <w:t>e) Prescribe glasses with base-out prism for use with prolonged near work</w:t>
      </w:r>
    </w:p>
    <w:p>
      <w:r>
        <w:t>f) Prescribe patching of each eye for 2 hours a day with 30 minutes of near activities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