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ZMBZKUDVAiMGInv14250 Details</w:t>
      </w:r>
    </w:p>
    <w:p>
      <w:r>
        <w:rPr>
          <w:b/>
        </w:rPr>
        <w:t>Demographics</w:t>
      </w:r>
    </w:p>
    <w:p>
      <w:pPr>
        <w:pStyle w:val="ListBullet"/>
      </w:pPr>
      <w:r>
        <w:t>31-year-old white female; professional skydiver</w:t>
      </w:r>
    </w:p>
    <w:p>
      <w:r>
        <w:rPr>
          <w:b/>
        </w:rPr>
        <w:t>Chief complaint</w:t>
      </w:r>
    </w:p>
    <w:p>
      <w:pPr>
        <w:pStyle w:val="ListBullet"/>
      </w:pPr>
      <w:r>
        <w:t>problems with contact lenses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Character/signs/symptoms:contact lenses are very uncomfortable; can only wear them for a few hours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months</w:t>
      </w:r>
    </w:p>
    <w:p>
      <w:pPr>
        <w:pStyle w:val="ListBullet"/>
      </w:pPr>
      <w:r>
        <w:t>Frequency:occurs every time she wears contacts</w:t>
      </w:r>
    </w:p>
    <w:p>
      <w:pPr>
        <w:pStyle w:val="ListBullet"/>
      </w:pPr>
      <w:r>
        <w:t>Exacerbations/remissions:worsens with increased contact lens wear time; improved when removes contacts</w:t>
      </w:r>
    </w:p>
    <w:p>
      <w:pPr>
        <w:pStyle w:val="ListBullet"/>
      </w:pPr>
      <w:r>
        <w:t>Relationship to activity or function:contact lens wear</w:t>
      </w:r>
    </w:p>
    <w:p>
      <w:pPr>
        <w:pStyle w:val="ListBullet"/>
      </w:pPr>
      <w:r>
        <w:t>Accompanying signs/symptoms:itchy eyes, ropy discharge, blurred vision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soft monthly disposable contact lenses, compliant with cleaning and replacement regimen, sleeps in contacts a few times per month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hepatitis C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contact lens Rx</w:t>
      </w:r>
    </w:p>
    <w:p>
      <w:pPr>
        <w:pStyle w:val="ListBullet"/>
      </w:pPr>
      <w:r>
        <w:t>ODB+L Ultra / 8.5 / 14.2 / -3.50 DS; VA distance: 20/20</w:t>
      </w:r>
    </w:p>
    <w:p>
      <w:pPr>
        <w:pStyle w:val="ListBullet"/>
      </w:pPr>
      <w:r>
        <w:t>OSB+L Ultra / 8.5 / 14.2 / -3.50 DS; VA distance: 20/25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OD:-3.50 -0.25 x 170; VA distance: 20/20</w:t>
      </w:r>
    </w:p>
    <w:p>
      <w:pPr>
        <w:pStyle w:val="ListBullet"/>
      </w:pPr>
      <w:r>
        <w:t>OS:-4.25 -0.25 x 005;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images 1 &amp; 2 OD, OS similar to OD</w:t>
      </w:r>
    </w:p>
    <w:p>
      <w:pPr>
        <w:pStyle w:val="ListBullet"/>
      </w:pPr>
      <w:r>
        <w:t>conjunctiva:1+ injection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13 mmHg, OS: 12 mmHg @ 12:00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C/D:0.20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105/73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335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EBVAMAOHQVRAHB143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5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835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XHGPGFQUCLKVII143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anterior segment condition?</w:t>
      </w:r>
    </w:p>
    <w:p>
      <w:r>
        <w:t>a) Epidemic keratoconjunctivitis</w:t>
      </w:r>
    </w:p>
    <w:p>
      <w:r>
        <w:t>b) Bacterial conjunctivitis</w:t>
      </w:r>
    </w:p>
    <w:p>
      <w:r>
        <w:t>c) Vernal keratoconjunctivitis</w:t>
      </w:r>
    </w:p>
    <w:p>
      <w:r>
        <w:t>d) Giant papillary conjunctivitis</w:t>
      </w:r>
    </w:p>
    <w:p>
      <w:r>
        <w:t>e) Superior limbic keratoconjunctivitis</w:t>
      </w:r>
    </w:p>
    <w:p>
      <w:pPr>
        <w:pStyle w:val="Heading2"/>
      </w:pPr>
      <w:r>
        <w:t>Question 2 / 5</w:t>
      </w:r>
    </w:p>
    <w:p>
      <w:r>
        <w:t>What is the MOST likely etiology of the patient's ocular condition observed in Images 1 and 2?</w:t>
      </w:r>
    </w:p>
    <w:p>
      <w:r>
        <w:t>a) Mechanical trauma</w:t>
      </w:r>
    </w:p>
    <w:p>
      <w:r>
        <w:t>b) Contact lens wear</w:t>
      </w:r>
    </w:p>
    <w:p>
      <w:r>
        <w:t>c) Idiopathic</w:t>
      </w:r>
    </w:p>
    <w:p>
      <w:r>
        <w:t>d) Unknown</w:t>
      </w:r>
    </w:p>
    <w:p>
      <w:r>
        <w:t>e) Viral pathogen</w:t>
      </w:r>
    </w:p>
    <w:p>
      <w:r>
        <w:t>f) Bacterial pathogen</w:t>
      </w:r>
    </w:p>
    <w:p>
      <w:pPr>
        <w:pStyle w:val="Heading2"/>
      </w:pPr>
      <w:r>
        <w:t>Question 3 / 5</w:t>
      </w:r>
    </w:p>
    <w:p>
      <w:r>
        <w:t>What is the MOST appropriate treatment for the patient's ocular condition?</w:t>
      </w:r>
    </w:p>
    <w:p>
      <w:r>
        <w:t>a) Oral antihistamine</w:t>
      </w:r>
    </w:p>
    <w:p>
      <w:r>
        <w:t>b) Topical cyclosporine drops</w:t>
      </w:r>
    </w:p>
    <w:p>
      <w:r>
        <w:t>c) Topical antiviral drops</w:t>
      </w:r>
    </w:p>
    <w:p>
      <w:r>
        <w:t>d) Topical fluoroquinolone drops</w:t>
      </w:r>
    </w:p>
    <w:p>
      <w:r>
        <w:t>e) Preservative-free artificial tears</w:t>
      </w:r>
    </w:p>
    <w:p>
      <w:r>
        <w:t>f) Topical mast cell stabilizer and antihistamine drops</w:t>
      </w:r>
    </w:p>
    <w:p>
      <w:pPr>
        <w:pStyle w:val="Heading2"/>
      </w:pPr>
      <w:r>
        <w:t>Question 4 / 5</w:t>
      </w:r>
    </w:p>
    <w:p>
      <w:r>
        <w:t>After the initiation of treatment, approximately when should the patient return to your office for a follow-up visit?</w:t>
      </w:r>
    </w:p>
    <w:p>
      <w:r>
        <w:t>a) 1 day</w:t>
      </w:r>
    </w:p>
    <w:p>
      <w:r>
        <w:t>b) 2 weeks</w:t>
      </w:r>
    </w:p>
    <w:p>
      <w:r>
        <w:t>c) 2 months</w:t>
      </w:r>
    </w:p>
    <w:p>
      <w:r>
        <w:t>d) 6 months</w:t>
      </w:r>
    </w:p>
    <w:p>
      <w:r>
        <w:t>e) 7 weeks</w:t>
      </w:r>
    </w:p>
    <w:p>
      <w:r>
        <w:t>f) 1 year</w:t>
      </w:r>
    </w:p>
    <w:p>
      <w:pPr>
        <w:pStyle w:val="Heading2"/>
      </w:pPr>
      <w:r>
        <w:t>Question 5 / 5</w:t>
      </w:r>
    </w:p>
    <w:p>
      <w:r>
        <w:t>The FDA classification system groups hydrogel contact lens materials according to care system compatibility. Upon which of the following parameters is this system based?</w:t>
      </w:r>
    </w:p>
    <w:p>
      <w:r>
        <w:t>a) Permeability and modulus</w:t>
      </w:r>
    </w:p>
    <w:p>
      <w:r>
        <w:t>b) Wettability and lubricity</w:t>
      </w:r>
    </w:p>
    <w:p>
      <w:r>
        <w:t>c) Water content and ionicity</w:t>
      </w:r>
    </w:p>
    <w:p>
      <w:r>
        <w:t>d) Transmissibility and center thickness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