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aXovwJdGWkjFlVwxy134 Details</w:t>
      </w:r>
    </w:p>
    <w:p>
      <w:r>
        <w:rPr>
          <w:b/>
        </w:rPr>
        <w:t>Demographics</w:t>
      </w:r>
    </w:p>
    <w:p>
      <w:pPr>
        <w:pStyle w:val="ListBullet"/>
      </w:pPr>
      <w:r>
        <w:t>26-year-old black male; optometry student</w:t>
      </w:r>
    </w:p>
    <w:p>
      <w:r>
        <w:rPr>
          <w:b/>
        </w:rPr>
        <w:t>Chief complaint</w:t>
      </w:r>
    </w:p>
    <w:p>
      <w:pPr>
        <w:pStyle w:val="ListBullet"/>
      </w:pPr>
      <w:r>
        <w:t>1 week LASIK enhancement post-op; vision is great but has mild discomfort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Character/signs/symptoms:foreign body sensation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Duration:1 week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at the end of the day and with extended computer use; improves with artificial tears</w:t>
      </w:r>
    </w:p>
    <w:p>
      <w:pPr>
        <w:pStyle w:val="ListBullet"/>
      </w:pPr>
      <w:r>
        <w:t>Relationship to activity or function:LASIK enhancement surgery</w:t>
      </w:r>
    </w:p>
    <w:p>
      <w:pPr>
        <w:pStyle w:val="ListBullet"/>
      </w:pPr>
      <w:r>
        <w:t>Accompanying signs/symptoms:eyes are slightly red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comprehensive eye exam 1 month ago; LASIK OU 1 year ago, LASIK enhancement OU 1 week ago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chronic progressive external ophthalmoplegia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as indicated by LASIK surgeon; compliant with all meds</w:t>
      </w:r>
    </w:p>
    <w:p>
      <w:r>
        <w:rPr>
          <w:b/>
        </w:rPr>
        <w:t>Patient allergy history</w:t>
      </w:r>
    </w:p>
    <w:p>
      <w:pPr>
        <w:pStyle w:val="ListBullet"/>
      </w:pPr>
      <w:r>
        <w:t>iodine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mesothelioma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</w:t>
      </w:r>
    </w:p>
    <w:p>
      <w:pPr>
        <w:pStyle w:val="ListBullet"/>
      </w:pPr>
      <w:r>
        <w:t>OS:distance: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conjunctiva:trace injection OD, OS</w:t>
      </w:r>
    </w:p>
    <w:p>
      <w:pPr>
        <w:pStyle w:val="ListBullet"/>
      </w:pPr>
      <w:r>
        <w:t>cornea:see image 1 OD, see image 2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drawing>
          <wp:inline xmlns:a="http://schemas.openxmlformats.org/drawingml/2006/main" xmlns:pic="http://schemas.openxmlformats.org/drawingml/2006/picture">
            <wp:extent cx="1828800" cy="14807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KZTTEAKRSUHQNEHWS7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0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889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IFMMVGQDJAMOUFWNT1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8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right eye corneal findings?</w:t>
      </w:r>
    </w:p>
    <w:p>
      <w:r>
        <w:t>a) Microbial keratitis</w:t>
      </w:r>
    </w:p>
    <w:p>
      <w:r>
        <w:t>b) Corneal foreign body</w:t>
      </w:r>
    </w:p>
    <w:p>
      <w:r>
        <w:t>c) Diffuse lamellar keratitis</w:t>
      </w:r>
    </w:p>
    <w:p>
      <w:r>
        <w:t>d) Epithelial ingrowth</w:t>
      </w:r>
    </w:p>
    <w:p>
      <w:r>
        <w:t>e) Superficial punctate keratitis</w:t>
      </w:r>
    </w:p>
    <w:p>
      <w:pPr>
        <w:pStyle w:val="Heading2"/>
      </w:pPr>
      <w:r>
        <w:t>Question 2 / 5</w:t>
      </w:r>
    </w:p>
    <w:p>
      <w:r>
        <w:t>What is the MOST appropriate treatment of the patient's condition?</w:t>
      </w:r>
    </w:p>
    <w:p>
      <w:r>
        <w:t>a) Refer back to the surgeon for treatment</w:t>
      </w:r>
    </w:p>
    <w:p>
      <w:r>
        <w:t>b) Have the patient return in 2 weeks and monitor carefully for change</w:t>
      </w:r>
    </w:p>
    <w:p>
      <w:r>
        <w:t>c) Add Ilotycin® q.h.s. OD and return in 1 week for follow-up</w:t>
      </w:r>
    </w:p>
    <w:p>
      <w:r>
        <w:t>d) Add Ilevro® b.i.d. OD and return in 1 week for follow-up</w:t>
      </w:r>
    </w:p>
    <w:p>
      <w:r>
        <w:t>e) Increase Pred Forte® to q.2.h. OD and return in 2-3 days for follow-up</w:t>
      </w:r>
    </w:p>
    <w:p>
      <w:r>
        <w:t>f) Increase preservative-free artificial tears to q.2.h OD and return in 1 week for follow-up</w:t>
      </w:r>
    </w:p>
    <w:p>
      <w:pPr>
        <w:pStyle w:val="Heading2"/>
      </w:pPr>
      <w:r>
        <w:t>Question 3 / 5</w:t>
      </w:r>
    </w:p>
    <w:p>
      <w:r>
        <w:t>At the follow-up visit, the patient reports that his vision is reduced in the right eye. You note a best corrected visual acuity of 20/40. Biomicroscopy reveals a worsening of the condition with more corneal involvement. What is the MOST appropriate treatment at this time?</w:t>
      </w:r>
    </w:p>
    <w:p>
      <w:r>
        <w:t>a) Prescribe Restasis® ophthalmic emulsion b.i.d. OU</w:t>
      </w:r>
    </w:p>
    <w:p>
      <w:r>
        <w:t>b) Increase Pred-Forte® 1% ophthalmic suspension to q.1.h. OD</w:t>
      </w:r>
    </w:p>
    <w:p>
      <w:r>
        <w:t>c) Increase preservative-free artificial tears to q.1.h OD</w:t>
      </w:r>
    </w:p>
    <w:p>
      <w:r>
        <w:t>d) Refer back to the LASIK surgeon for flap lift and removal of aberrant cells</w:t>
      </w:r>
    </w:p>
    <w:p>
      <w:r>
        <w:t>e) Prescribe Zymaxid® ophthalmic solution q.i.d. OD</w:t>
      </w:r>
    </w:p>
    <w:p>
      <w:pPr>
        <w:pStyle w:val="Heading2"/>
      </w:pPr>
      <w:r>
        <w:t>Question 4 / 5</w:t>
      </w:r>
    </w:p>
    <w:p>
      <w:r>
        <w:t>Typical ophthalmic medications prescribed for use during the first week following LASIK surgery include which three of the following? (Select 3)</w:t>
      </w:r>
    </w:p>
    <w:p>
      <w:r>
        <w:t>a) Topical steroid drops</w:t>
      </w:r>
    </w:p>
    <w:p>
      <w:r>
        <w:t>b) Bland ophthalmic ointment</w:t>
      </w:r>
    </w:p>
    <w:p>
      <w:r>
        <w:t>c) Artificial tears</w:t>
      </w:r>
    </w:p>
    <w:p>
      <w:r>
        <w:t>d) Topical hyperosmotic drops</w:t>
      </w:r>
    </w:p>
    <w:p>
      <w:r>
        <w:t>e) Mast cell stabilizer</w:t>
      </w:r>
    </w:p>
    <w:p>
      <w:r>
        <w:t>f) Topical antibiotic drops</w:t>
      </w:r>
    </w:p>
    <w:p>
      <w:r>
        <w:t>g) Topical vasoconstrictor</w:t>
      </w:r>
    </w:p>
    <w:p>
      <w:pPr>
        <w:pStyle w:val="Heading2"/>
      </w:pPr>
      <w:r>
        <w:t>Question 5 / 5</w:t>
      </w:r>
    </w:p>
    <w:p>
      <w:r>
        <w:t>Which of the following activities is prohibited the day before LASIK surgery?</w:t>
      </w:r>
    </w:p>
    <w:p>
      <w:r>
        <w:t>a) Drinking alcoholic beverages</w:t>
      </w:r>
    </w:p>
    <w:p>
      <w:r>
        <w:t>b) Heavy lifting</w:t>
      </w:r>
    </w:p>
    <w:p>
      <w:r>
        <w:t>c) Running</w:t>
      </w:r>
    </w:p>
    <w:p>
      <w:r>
        <w:t>d) Wearing contact lenses</w:t>
      </w:r>
    </w:p>
    <w:p>
      <w:r>
        <w:t>e) Surfing</w:t>
      </w:r>
    </w:p>
    <w:p>
      <w:r>
        <w:t>f) Sleeping</w:t>
      </w:r>
    </w:p>
    <w:p>
      <w:r>
        <w:t>g) Eating solid foods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