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asLtMVfxsnDYuACc9218 Details</w:t>
      </w:r>
    </w:p>
    <w:p>
      <w:r>
        <w:rPr>
          <w:b/>
        </w:rPr>
        <w:t>Demographics</w:t>
      </w:r>
    </w:p>
    <w:p>
      <w:pPr>
        <w:pStyle w:val="ListBullet"/>
      </w:pPr>
      <w:r>
        <w:t>25-year-old white male; mail carrier</w:t>
      </w:r>
    </w:p>
    <w:p>
      <w:r>
        <w:rPr>
          <w:b/>
        </w:rPr>
        <w:t>Chief complaint</w:t>
      </w:r>
    </w:p>
    <w:p>
      <w:pPr>
        <w:pStyle w:val="ListBullet"/>
      </w:pPr>
      <w:r>
        <w:t>itchy eyes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Character/signs/symptoms:eyelids are itchy and irritated</w:t>
      </w:r>
    </w:p>
    <w:p>
      <w:pPr>
        <w:pStyle w:val="ListBullet"/>
      </w:pPr>
      <w:r>
        <w:t>Location:OD, OS</w:t>
      </w:r>
    </w:p>
    <w:p>
      <w:pPr>
        <w:pStyle w:val="ListBullet"/>
      </w:pPr>
      <w:r>
        <w:t>Severity:mild</w:t>
      </w:r>
    </w:p>
    <w:p>
      <w:pPr>
        <w:pStyle w:val="ListBullet"/>
      </w:pPr>
      <w:r>
        <w:t>Nature of onset:gradual</w:t>
      </w:r>
    </w:p>
    <w:p>
      <w:pPr>
        <w:pStyle w:val="ListBullet"/>
      </w:pPr>
      <w:r>
        <w:t>Duration:3 weeks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Exacerbations/remissions:worse at night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signs/symptoms:mild redness and tearing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2 years ago; does not wear correction</w:t>
      </w:r>
    </w:p>
    <w:p>
      <w:r>
        <w:rPr>
          <w:b/>
        </w:rPr>
        <w:t>Family ocular history</w:t>
      </w:r>
    </w:p>
    <w:p>
      <w:pPr>
        <w:pStyle w:val="ListBullet"/>
      </w:pPr>
      <w:r>
        <w:t>unremarkable</w:t>
      </w:r>
    </w:p>
    <w:p>
      <w:r>
        <w:rPr>
          <w:b/>
        </w:rPr>
        <w:t>Patient medical history</w:t>
      </w:r>
    </w:p>
    <w:p>
      <w:pPr>
        <w:pStyle w:val="ListBullet"/>
      </w:pPr>
      <w:r>
        <w:t>unremarkable</w:t>
      </w:r>
    </w:p>
    <w:p>
      <w:r>
        <w:rPr>
          <w:b/>
        </w:rPr>
        <w:t>Medications taken by patient</w:t>
      </w:r>
    </w:p>
    <w:p>
      <w:pPr>
        <w:pStyle w:val="ListBullet"/>
      </w:pPr>
      <w:r>
        <w:t>none</w:t>
      </w:r>
    </w:p>
    <w:p>
      <w:r>
        <w:rPr>
          <w:b/>
        </w:rPr>
        <w:t>Patient allergy history</w:t>
      </w:r>
    </w:p>
    <w:p>
      <w:pPr>
        <w:pStyle w:val="ListBullet"/>
      </w:pPr>
      <w:r>
        <w:t>caffeine</w:t>
      </w:r>
    </w:p>
    <w:p>
      <w:r>
        <w:rPr>
          <w:b/>
        </w:rPr>
        <w:t>Family medical history</w:t>
      </w:r>
    </w:p>
    <w:p>
      <w:pPr>
        <w:pStyle w:val="ListBullet"/>
      </w:pPr>
      <w:r>
        <w:t>father: hypertension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Uncorrected visual acuity</w:t>
      </w:r>
    </w:p>
    <w:p>
      <w:pPr>
        <w:pStyle w:val="ListBullet"/>
      </w:pPr>
      <w:r>
        <w:t>OD:distance: 20/20; near: 20/20 @ 40 cm</w:t>
      </w:r>
    </w:p>
    <w:p>
      <w:pPr>
        <w:pStyle w:val="ListBullet"/>
      </w:pPr>
      <w:r>
        <w:t>OS:distance: 20/20; near: 20/20 @ 40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Subjective refraction</w:t>
      </w:r>
    </w:p>
    <w:p>
      <w:pPr>
        <w:pStyle w:val="ListBullet"/>
      </w:pPr>
      <w:r>
        <w:t>OD:+0.25 -0.25 x 013; VA distance: 20/20</w:t>
      </w:r>
    </w:p>
    <w:p>
      <w:pPr>
        <w:pStyle w:val="ListBullet"/>
      </w:pPr>
      <w:r>
        <w:t>OS:+0.25 DS; VA distance: 20/20</w:t>
      </w:r>
    </w:p>
    <w:p>
      <w:r>
        <w:rPr>
          <w:b/>
        </w:rPr>
        <w:t>Slit lamp</w:t>
      </w:r>
    </w:p>
    <w:p>
      <w:pPr>
        <w:pStyle w:val="ListBullet"/>
      </w:pPr>
      <w:r>
        <w:t>lids/lashes/adnexa:see image 1 OD, see image 2 OS</w:t>
      </w:r>
    </w:p>
    <w:p>
      <w:pPr>
        <w:pStyle w:val="ListBullet"/>
      </w:pPr>
      <w:r>
        <w:t>conjunctiva:1+ injection with palpebral follicles OD, OS</w:t>
      </w:r>
    </w:p>
    <w:p>
      <w:pPr>
        <w:pStyle w:val="ListBullet"/>
      </w:pPr>
      <w:r>
        <w:t>cornea:clear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lens:clear OD, OS</w:t>
      </w:r>
    </w:p>
    <w:p>
      <w:pPr>
        <w:pStyle w:val="ListBullet"/>
      </w:pPr>
      <w:r>
        <w:t>vitreous:clear OD, OS</w:t>
      </w:r>
    </w:p>
    <w:p>
      <w:r>
        <w:rPr>
          <w:b/>
        </w:rPr>
        <w:t>IOPs:</w:t>
      </w:r>
    </w:p>
    <w:p>
      <w:pPr>
        <w:pStyle w:val="ListBullet"/>
      </w:pPr>
      <w:r>
        <w:t>OD: 13 mmHg, OS: 14 mmHg @ 12:00 pm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3</w:t>
      </w:r>
    </w:p>
    <w:p>
      <w:pPr>
        <w:pStyle w:val="ListBullet"/>
      </w:pPr>
      <w:r>
        <w:t>macula:see image 3</w:t>
      </w:r>
    </w:p>
    <w:p>
      <w:pPr>
        <w:pStyle w:val="ListBullet"/>
      </w:pPr>
      <w:r>
        <w:t>posterior pole:see image 3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4</w:t>
      </w:r>
    </w:p>
    <w:p>
      <w:pPr>
        <w:pStyle w:val="ListBullet"/>
      </w:pPr>
      <w:r>
        <w:t>macula:see image 4</w:t>
      </w:r>
    </w:p>
    <w:p>
      <w:pPr>
        <w:pStyle w:val="ListBullet"/>
      </w:pPr>
      <w:r>
        <w:t>posterior pole:see image 4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100/75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66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14554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TGQSQNHACUMMPTLA928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5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593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VZTMBIIOUROEYWTR928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59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9291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QWZAYPDUULBEGHPF928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929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6983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FEALIFFMFCGVQHCP928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69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What is the MOST appropriate diagnosis of the patient's ocular condition?</w:t>
      </w:r>
    </w:p>
    <w:p>
      <w:r>
        <w:t>a) Phthiriasis</w:t>
      </w:r>
    </w:p>
    <w:p>
      <w:r>
        <w:t>b) Ticks</w:t>
      </w:r>
    </w:p>
    <w:p>
      <w:r>
        <w:t>c) Demodex</w:t>
      </w:r>
    </w:p>
    <w:p>
      <w:r>
        <w:t>d) Mites</w:t>
      </w:r>
    </w:p>
    <w:p>
      <w:pPr>
        <w:pStyle w:val="Heading2"/>
      </w:pPr>
      <w:r>
        <w:t>Question 2 / 5</w:t>
      </w:r>
    </w:p>
    <w:p>
      <w:r>
        <w:t>What is the MOST appropriate initial treatment for this ocular condition?</w:t>
      </w:r>
    </w:p>
    <w:p>
      <w:r>
        <w:t>a) Application of Kwell® shampoo to the lid margins and surrounding ocular structures</w:t>
      </w:r>
    </w:p>
    <w:p>
      <w:r>
        <w:t>b) Exposure of the organisms to extreme heat</w:t>
      </w:r>
    </w:p>
    <w:p>
      <w:r>
        <w:t>c) Removal of the organisms with jeweler's forceps</w:t>
      </w:r>
    </w:p>
    <w:p>
      <w:r>
        <w:t>d) Application of petroleum jelly ophthalmic ointment q.h.s. to the eyelid margins</w:t>
      </w:r>
    </w:p>
    <w:p>
      <w:r>
        <w:t>e) Cleansing of the eyelid margins with diluted tea tree oil</w:t>
      </w:r>
    </w:p>
    <w:p>
      <w:pPr>
        <w:pStyle w:val="Heading2"/>
      </w:pPr>
      <w:r>
        <w:t>Question 3 / 5</w:t>
      </w:r>
    </w:p>
    <w:p>
      <w:r>
        <w:t>What other counseling should be included in your patient education considering this patient’s ocular condition?</w:t>
      </w:r>
    </w:p>
    <w:p>
      <w:r>
        <w:t>a) All clothes, bath towels, and bedding must be laundered and dried on high heat and then sealed in a bag for 14 days</w:t>
      </w:r>
    </w:p>
    <w:p>
      <w:r>
        <w:t>b) He is required to wear sunglasses and bandage contact lenses to ensure that this condition fully resolves</w:t>
      </w:r>
    </w:p>
    <w:p>
      <w:r>
        <w:t>c) The condition can lead to severe permanent corneal damage if he is not compliant with the treatment</w:t>
      </w:r>
    </w:p>
    <w:p>
      <w:r>
        <w:t>d) It is essential that he stays in isolation for two weeks given the extremely contagious nature of his condition</w:t>
      </w:r>
    </w:p>
    <w:p>
      <w:pPr>
        <w:pStyle w:val="Heading2"/>
      </w:pPr>
      <w:r>
        <w:t>Question 4 / 5</w:t>
      </w:r>
    </w:p>
    <w:p>
      <w:r>
        <w:t>After the initiation of treatment, when should the patient return to your office for a follow-up visit?</w:t>
      </w:r>
    </w:p>
    <w:p>
      <w:r>
        <w:t>a) 7 days</w:t>
      </w:r>
    </w:p>
    <w:p>
      <w:r>
        <w:t>b) 6 months</w:t>
      </w:r>
    </w:p>
    <w:p>
      <w:r>
        <w:t>c) 1 month</w:t>
      </w:r>
    </w:p>
    <w:p>
      <w:r>
        <w:t>d) 14 days</w:t>
      </w:r>
    </w:p>
    <w:p>
      <w:r>
        <w:t>e) 1 day</w:t>
      </w:r>
    </w:p>
    <w:p>
      <w:pPr>
        <w:pStyle w:val="Heading2"/>
      </w:pPr>
      <w:r>
        <w:t>Question 5 / 5</w:t>
      </w:r>
    </w:p>
    <w:p>
      <w:r>
        <w:t>Given this diagnosis, what additional referrals should be made to ensure optimal results?</w:t>
      </w:r>
    </w:p>
    <w:p>
      <w:r>
        <w:t>a) Referral to a neurologist</w:t>
      </w:r>
    </w:p>
    <w:p>
      <w:r>
        <w:t>b) Referral to an ophthalmologist</w:t>
      </w:r>
    </w:p>
    <w:p>
      <w:r>
        <w:t>c) Referral to his primary care physician</w:t>
      </w:r>
    </w:p>
    <w:p>
      <w:r>
        <w:t>d) Referral to the centers for disease control and prevention (CDC)</w:t>
      </w:r>
    </w:p>
    <w:p>
      <w:r>
        <w:t>e) Referral to a dermatologist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