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cnmaIUrxszmaJsG12679 Details</w:t>
      </w:r>
    </w:p>
    <w:p>
      <w:r>
        <w:rPr>
          <w:b/>
        </w:rPr>
        <w:t>Demographics</w:t>
      </w:r>
    </w:p>
    <w:p>
      <w:pPr>
        <w:pStyle w:val="ListBullet"/>
      </w:pPr>
      <w:r>
        <w:t>42-year-old white female; information technology consultant</w:t>
      </w:r>
    </w:p>
    <w:p>
      <w:r>
        <w:rPr>
          <w:b/>
        </w:rPr>
        <w:t>Chief complaint</w:t>
      </w:r>
    </w:p>
    <w:p>
      <w:pPr>
        <w:pStyle w:val="ListBullet"/>
      </w:pPr>
      <w:r>
        <w:t>red eye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Character/signs/symptoms:redness, irritation, excessive lacrimation, and photophobia</w:t>
      </w:r>
    </w:p>
    <w:p>
      <w:pPr>
        <w:pStyle w:val="ListBullet"/>
      </w:pPr>
      <w:r>
        <w:t>Location:OS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onset:acute</w:t>
      </w:r>
    </w:p>
    <w:p>
      <w:pPr>
        <w:pStyle w:val="ListBullet"/>
      </w:pPr>
      <w:r>
        <w:t>Duration:6 weeks; woke up with red, painful eye and went to urgent care; was directed to the emergency room, but she never went (worried about cost); symptoms have been ongoing since then, but pain has been gradually improving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Exacerbations/remissions:has been slightly improving since onset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signs/symptoms:mildly blurred vision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LASIK 9 years ago; last eye exam 2 years ago; wears soft contact lenses due to myopic regression, not compliant with replacement schedule and occasionally sleeps in lenses</w:t>
      </w:r>
    </w:p>
    <w:p>
      <w:r>
        <w:rPr>
          <w:b/>
        </w:rPr>
        <w:t>Family ocular history</w:t>
      </w:r>
    </w:p>
    <w:p>
      <w:pPr>
        <w:pStyle w:val="ListBullet"/>
      </w:pPr>
      <w:r>
        <w:t>mother: cataracts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multivitamins</w:t>
      </w:r>
    </w:p>
    <w:p>
      <w:r>
        <w:rPr>
          <w:b/>
        </w:rPr>
        <w:t>Patient allergy history</w:t>
      </w:r>
    </w:p>
    <w:p>
      <w:pPr>
        <w:pStyle w:val="ListBullet"/>
      </w:pPr>
      <w:r>
        <w:t>NDKA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liver cirrhosis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OD:VA distance: 20/40 (PH 20/20)</w:t>
      </w:r>
    </w:p>
    <w:p>
      <w:pPr>
        <w:pStyle w:val="ListBullet"/>
      </w:pPr>
      <w:r>
        <w:t>OS:VA distance: 20/100 (PH 20/30)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2+ injection OS</w:t>
      </w:r>
    </w:p>
    <w:p>
      <w:pPr>
        <w:pStyle w:val="ListBullet"/>
      </w:pPr>
      <w:r>
        <w:t>cornea:clear OD, 1+ edema, fine keratic precipitates on endothelium, stromal neovascularization (see images 1 and 2) OS</w:t>
      </w:r>
    </w:p>
    <w:p>
      <w:pPr>
        <w:pStyle w:val="ListBullet"/>
      </w:pPr>
      <w:r>
        <w:t>anterior chamber:deep and quiet OD, 1+ cells and flare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14 mmHg, OS: 14 mmHg @ 10:15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C/D:see image 3</w:t>
      </w:r>
    </w:p>
    <w:p>
      <w:pPr>
        <w:pStyle w:val="ListBullet"/>
      </w:pPr>
      <w:r>
        <w:t>macula:see image 3</w:t>
      </w:r>
    </w:p>
    <w:p>
      <w:pPr>
        <w:pStyle w:val="ListBullet"/>
      </w:pPr>
      <w:r>
        <w:t>posterior pole:see image 3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 4</w:t>
      </w:r>
    </w:p>
    <w:p>
      <w:pPr>
        <w:pStyle w:val="ListBullet"/>
      </w:pPr>
      <w:r>
        <w:t>macula:see image 4</w:t>
      </w:r>
    </w:p>
    <w:p>
      <w:pPr>
        <w:pStyle w:val="ListBullet"/>
      </w:pPr>
      <w:r>
        <w:t>posterior pole:see image 4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120/80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68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434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RTXWJUUPOTKYSHV127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34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8840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RIBERHIQKWOCNOO127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84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2020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OTLCVZYFQIUNQFT1274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02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2020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RLSLCADSEAQSNYB1274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02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What is the MOST likely diagnosis of the patient's anterior segment condition of the LEFT eye?</w:t>
      </w:r>
    </w:p>
    <w:p>
      <w:r>
        <w:t>a) Iritis</w:t>
      </w:r>
    </w:p>
    <w:p>
      <w:r>
        <w:t>b) Contact lens associated red eye</w:t>
      </w:r>
    </w:p>
    <w:p>
      <w:r>
        <w:t>c) Interstitial keratitis</w:t>
      </w:r>
    </w:p>
    <w:p>
      <w:r>
        <w:t>d) Pterygium</w:t>
      </w:r>
    </w:p>
    <w:p>
      <w:r>
        <w:t>e) Neovascular glaucoma</w:t>
      </w:r>
    </w:p>
    <w:p>
      <w:pPr>
        <w:pStyle w:val="Heading2"/>
      </w:pPr>
      <w:r>
        <w:t>Question 2 / 5</w:t>
      </w:r>
    </w:p>
    <w:p>
      <w:r>
        <w:t>Although the patient denied any systemic medical history, what is the MOST likely etiology of this condition?</w:t>
      </w:r>
    </w:p>
    <w:p>
      <w:r>
        <w:t>a) Congenital syphilis</w:t>
      </w:r>
    </w:p>
    <w:p>
      <w:r>
        <w:t>b) Cogan syndrome</w:t>
      </w:r>
    </w:p>
    <w:p>
      <w:r>
        <w:t>c) Leprosy</w:t>
      </w:r>
    </w:p>
    <w:p>
      <w:r>
        <w:t>d) Lyme disease</w:t>
      </w:r>
    </w:p>
    <w:p>
      <w:r>
        <w:t>e) Herpes simplex</w:t>
      </w:r>
    </w:p>
    <w:p>
      <w:pPr>
        <w:pStyle w:val="Heading2"/>
      </w:pPr>
      <w:r>
        <w:t>Question 3 / 5</w:t>
      </w:r>
    </w:p>
    <w:p>
      <w:r>
        <w:t>Which 3 of the following represent the MOST appropriate treatment for the patient's anterior segment condition of the left eye? (Select 3)</w:t>
      </w:r>
    </w:p>
    <w:p>
      <w:r>
        <w:t>a) Valtrex 1 gram p.o. t.i.d.</w:t>
      </w:r>
    </w:p>
    <w:p>
      <w:r>
        <w:t>b) Intravenous aqueous crystalline penicillin G q.4.h.</w:t>
      </w:r>
    </w:p>
    <w:p>
      <w:r>
        <w:t>c) Homatropine 2% ophthalmic solution t.i.d.</w:t>
      </w:r>
    </w:p>
    <w:p>
      <w:r>
        <w:t>d) Pred Forte® 1% ophthalmic suspension q.2.h.</w:t>
      </w:r>
    </w:p>
    <w:p>
      <w:r>
        <w:t>e) Doxycycline 100 mg p.o. b.i.d.</w:t>
      </w:r>
    </w:p>
    <w:p>
      <w:r>
        <w:t>f) Zirgan® 0.15% ophthalmic gel 5x per day</w:t>
      </w:r>
    </w:p>
    <w:p>
      <w:r>
        <w:t>g) Ofloxacin 0.3% ophthalmic solution q.i.d.</w:t>
      </w:r>
    </w:p>
    <w:p>
      <w:pPr>
        <w:pStyle w:val="Heading2"/>
      </w:pPr>
      <w:r>
        <w:t>Question 4 / 5</w:t>
      </w:r>
    </w:p>
    <w:p>
      <w:r>
        <w:t>After the initiation of treatment, when should the patient return for a follow-up visit?</w:t>
      </w:r>
    </w:p>
    <w:p>
      <w:r>
        <w:t>a) 2 months</w:t>
      </w:r>
    </w:p>
    <w:p>
      <w:r>
        <w:t>b) 5 days</w:t>
      </w:r>
    </w:p>
    <w:p>
      <w:r>
        <w:t>c) 1 month</w:t>
      </w:r>
    </w:p>
    <w:p>
      <w:r>
        <w:t>d) 1 day</w:t>
      </w:r>
    </w:p>
    <w:p>
      <w:r>
        <w:t>e) 2 weeks</w:t>
      </w:r>
    </w:p>
    <w:p>
      <w:pPr>
        <w:pStyle w:val="Heading2"/>
      </w:pPr>
      <w:r>
        <w:t>Question 5 / 5</w:t>
      </w:r>
    </w:p>
    <w:p>
      <w:r>
        <w:t>Which of the following glaucoma medications can cause black/brown palpebral conjunctival deposits?</w:t>
      </w:r>
    </w:p>
    <w:p>
      <w:r>
        <w:t>a) Timoptic®</w:t>
      </w:r>
    </w:p>
    <w:p>
      <w:r>
        <w:t>b) Lumigan®</w:t>
      </w:r>
    </w:p>
    <w:p>
      <w:r>
        <w:t>c) Pilocarpine</w:t>
      </w:r>
    </w:p>
    <w:p>
      <w:r>
        <w:t>d) Brimonidine</w:t>
      </w:r>
    </w:p>
    <w:p>
      <w:r>
        <w:t>e) Epinephrine</w:t>
      </w:r>
    </w:p>
    <w:p>
      <w:r>
        <w:t>f) Rocklatan®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