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rJRHhhZfsFyVNJTQ6421 Details</w:t>
      </w:r>
    </w:p>
    <w:p>
      <w:r>
        <w:rPr>
          <w:b/>
        </w:rPr>
        <w:t>Demographics</w:t>
      </w:r>
    </w:p>
    <w:p>
      <w:pPr>
        <w:pStyle w:val="ListBullet"/>
      </w:pPr>
      <w:r>
        <w:t>10-year-old black male; student</w:t>
      </w:r>
    </w:p>
    <w:p>
      <w:r>
        <w:rPr>
          <w:b/>
        </w:rPr>
        <w:t>Chief complaint</w:t>
      </w:r>
    </w:p>
    <w:p>
      <w:pPr>
        <w:pStyle w:val="ListBullet"/>
      </w:pPr>
      <w:r>
        <w:t>blurry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Character/signs/symptoms:parents report that the patient has been complaining of blurred vision at near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onset:gradual (since he began 5th grade)</w:t>
      </w:r>
    </w:p>
    <w:p>
      <w:pPr>
        <w:pStyle w:val="ListBullet"/>
      </w:pPr>
      <w:r>
        <w:t>Duration:6 months</w:t>
      </w:r>
    </w:p>
    <w:p>
      <w:pPr>
        <w:pStyle w:val="ListBullet"/>
      </w:pPr>
      <w:r>
        <w:t>Frequency:intermittent</w:t>
      </w:r>
    </w:p>
    <w:p>
      <w:pPr>
        <w:pStyle w:val="ListBullet"/>
      </w:pPr>
      <w:r>
        <w:t>Exacerbations/remissions:worse at the end of the day or after prolonged near work; better on weekends</w:t>
      </w:r>
    </w:p>
    <w:p>
      <w:pPr>
        <w:pStyle w:val="ListBullet"/>
      </w:pPr>
      <w:r>
        <w:t>Relationship to activity or function:playing video games, doing homework, reading</w:t>
      </w:r>
    </w:p>
    <w:p>
      <w:pPr>
        <w:pStyle w:val="ListBullet"/>
      </w:pPr>
      <w:r>
        <w:t>Accompanying signs/symptoms:occasional headaches above and around the eyes</w:t>
      </w:r>
    </w:p>
    <w:p>
      <w:r>
        <w:rPr>
          <w:b/>
        </w:rPr>
        <w:t>Secondary complaints/symptoms</w:t>
      </w:r>
    </w:p>
    <w:p>
      <w:pPr>
        <w:pStyle w:val="ListBullet"/>
      </w:pPr>
      <w:r>
        <w:t>parents also report his eyelids are often swollen and he complains of itchy eyes</w:t>
      </w:r>
    </w:p>
    <w:p>
      <w:r>
        <w:rPr>
          <w:b/>
        </w:rPr>
        <w:t>Patient ocular history</w:t>
      </w:r>
    </w:p>
    <w:p>
      <w:pPr>
        <w:pStyle w:val="ListBullet"/>
      </w:pPr>
      <w:r>
        <w:t>1st eye exam</w:t>
      </w:r>
    </w:p>
    <w:p>
      <w:r>
        <w:rPr>
          <w:b/>
        </w:rPr>
        <w:t>Family ocular history</w:t>
      </w:r>
    </w:p>
    <w:p>
      <w:pPr>
        <w:pStyle w:val="ListBullet"/>
      </w:pPr>
      <w:r>
        <w:t>mother: glaucoma suspect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</w:t>
      </w:r>
    </w:p>
    <w:p>
      <w:r>
        <w:rPr>
          <w:b/>
        </w:rPr>
        <w:t>Medications taken by patient</w:t>
      </w:r>
    </w:p>
    <w:p>
      <w:pPr>
        <w:pStyle w:val="ListBullet"/>
      </w:pPr>
      <w:r>
        <w:t>childrens multivitamin, Singulair®</w:t>
      </w:r>
    </w:p>
    <w:p>
      <w:r>
        <w:rPr>
          <w:b/>
        </w:rPr>
        <w:t>Patient allergy history</w:t>
      </w:r>
    </w:p>
    <w:p>
      <w:pPr>
        <w:pStyle w:val="ListBullet"/>
      </w:pPr>
      <w:r>
        <w:t>seasonal allergies; NKDA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hypertension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Ear/nose/throat:runny nose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Dermatological:eczema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Orientation:age appropriate orientation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OD:distance: 20/20, near: 20/25 @ 40 cm</w:t>
      </w:r>
    </w:p>
    <w:p>
      <w:pPr>
        <w:pStyle w:val="ListBullet"/>
      </w:pPr>
      <w:r>
        <w:t>OS:distance: 20/20, near: 20/25 @ 40 cm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Cover test:</w:t>
      </w:r>
    </w:p>
    <w:p>
      <w:pPr>
        <w:pStyle w:val="ListBullet"/>
      </w:pPr>
      <w:r>
        <w:t>distance: orthophoria, near: orthophoria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Stereo test:</w:t>
      </w:r>
    </w:p>
    <w:p>
      <w:pPr>
        <w:pStyle w:val="ListBullet"/>
      </w:pPr>
      <w:r>
        <w:t>200 (via Lang II)</w:t>
      </w:r>
    </w:p>
    <w:p>
      <w:r>
        <w:rPr>
          <w:b/>
        </w:rPr>
        <w:t>Color test:</w:t>
      </w:r>
    </w:p>
    <w:p>
      <w:pPr>
        <w:pStyle w:val="ListBullet"/>
      </w:pPr>
      <w:r>
        <w:t>12/12 OD, OS (Ishihara color plates)</w:t>
      </w:r>
    </w:p>
    <w:p>
      <w:r>
        <w:rPr>
          <w:b/>
        </w:rPr>
        <w:t>Subjective refraction</w:t>
      </w:r>
    </w:p>
    <w:p>
      <w:pPr>
        <w:pStyle w:val="ListBullet"/>
      </w:pPr>
      <w:r>
        <w:t>OD:plano -0.25 x 180; VA distance: 20/20; VA near: 20/25 @ 40 cm</w:t>
      </w:r>
    </w:p>
    <w:p>
      <w:pPr>
        <w:pStyle w:val="ListBullet"/>
      </w:pPr>
      <w:r>
        <w:t>OS:plano DS; VA distance: 20/20, VA near: 20/25 @ 40 cm</w:t>
      </w:r>
    </w:p>
    <w:p>
      <w:r>
        <w:rPr>
          <w:b/>
        </w:rPr>
        <w:t>Accommodative system</w:t>
      </w:r>
    </w:p>
    <w:p>
      <w:pPr>
        <w:pStyle w:val="ListBullet"/>
      </w:pPr>
      <w:r>
        <w:t>NRA/PRA:+2.75 / -0.75</w:t>
      </w:r>
    </w:p>
    <w:p>
      <w:pPr>
        <w:pStyle w:val="ListBullet"/>
      </w:pPr>
      <w:r>
        <w:t>Monocular estimation method (MEM):+1.25 OD, OS</w:t>
      </w:r>
    </w:p>
    <w:p>
      <w:r>
        <w:rPr>
          <w:b/>
        </w:rPr>
        <w:t>Wet refraction:</w:t>
      </w:r>
    </w:p>
    <w:p>
      <w:pPr>
        <w:pStyle w:val="ListBullet"/>
      </w:pPr>
      <w:r>
        <w:t>OD:+1.25 DS; VA distance: 20/20</w:t>
      </w:r>
    </w:p>
    <w:p>
      <w:pPr>
        <w:pStyle w:val="ListBullet"/>
      </w:pPr>
      <w:r>
        <w:t>OS:+1.25 DS; VA distance: 20/20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conjunctiva:trace conjunctival injection, 2+ papillae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17 mmHg, OS: 17 mmHg @ 2:30 pm by Tonopen</w:t>
      </w:r>
    </w:p>
    <w:p>
      <w:r>
        <w:rPr>
          <w:b/>
        </w:rPr>
        <w:t>Fundus OD</w:t>
      </w:r>
    </w:p>
    <w:p>
      <w:pPr>
        <w:pStyle w:val="ListBullet"/>
      </w:pPr>
      <w:r>
        <w:t>C/D:see image 1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C/D:see image 2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drawing>
          <wp:inline xmlns:a="http://schemas.openxmlformats.org/drawingml/2006/main" xmlns:pic="http://schemas.openxmlformats.org/drawingml/2006/picture">
            <wp:extent cx="1828800" cy="12183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OIZDWSAQAUTEZRMO649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83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22247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WSZDAJEKFINTMRTG649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22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6</w:t>
      </w:r>
    </w:p>
    <w:p>
      <w:r>
        <w:t>Which of the following prescriptions would be the MOST appropriate to prescribe for this patient?</w:t>
      </w:r>
    </w:p>
    <w:p>
      <w:r>
        <w:t>a) OD: +0.50 DS; OS: +0.50 DS; for near activities only</w:t>
      </w:r>
    </w:p>
    <w:p>
      <w:r>
        <w:t>b) OD: +1.25 DS; OS: +1.25 DS; for full time wear</w:t>
      </w:r>
    </w:p>
    <w:p>
      <w:r>
        <w:t>c) OD: +1.00 DS; OS: +1.00 DS; for near activities only</w:t>
      </w:r>
    </w:p>
    <w:p>
      <w:r>
        <w:t>d) No spectacles are required for distance or near at this time</w:t>
      </w:r>
    </w:p>
    <w:p>
      <w:r>
        <w:t>e) OD: +0.50 DS; OS: +0.50 DS; for full-time wear</w:t>
      </w:r>
    </w:p>
    <w:p>
      <w:r>
        <w:t>f) OD: +1.75 DS; OS: +1.75 DS; for full time wear</w:t>
      </w:r>
    </w:p>
    <w:p>
      <w:r>
        <w:t>g) OD: +1.75 DS; OS: +1.75 DS; for near activities only</w:t>
      </w:r>
    </w:p>
    <w:p>
      <w:r>
        <w:t>h) OD: plano -0.25 x 180; OS: plano DS; for full-time wear</w:t>
      </w:r>
    </w:p>
    <w:p>
      <w:pPr>
        <w:pStyle w:val="Heading2"/>
      </w:pPr>
      <w:r>
        <w:t>Question 2 / 6</w:t>
      </w:r>
    </w:p>
    <w:p>
      <w:r>
        <w:t>After reviewing the patient’s anterior segment findings, which of the following treatment options would be MOST appropriate in order to address his secondary complaint of itchy eyes?</w:t>
      </w:r>
    </w:p>
    <w:p>
      <w:r>
        <w:t>a) Pataday® q.d.</w:t>
      </w:r>
    </w:p>
    <w:p>
      <w:r>
        <w:t>b) Zirgan® q.5h</w:t>
      </w:r>
    </w:p>
    <w:p>
      <w:r>
        <w:t>c) Pred Forte® t.i.d.</w:t>
      </w:r>
    </w:p>
    <w:p>
      <w:r>
        <w:t>d) Moxeza® t.i.d.</w:t>
      </w:r>
    </w:p>
    <w:p>
      <w:r>
        <w:t>e) AzaSite® b.i.d.</w:t>
      </w:r>
    </w:p>
    <w:p>
      <w:pPr>
        <w:pStyle w:val="Heading2"/>
      </w:pPr>
      <w:r>
        <w:t>Question 3 / 6</w:t>
      </w:r>
    </w:p>
    <w:p>
      <w:r>
        <w:t>Which of the following is NOT a common finding associated with vernal keratoconjunctivitis?</w:t>
      </w:r>
    </w:p>
    <w:p>
      <w:r>
        <w:t>a) Preauricular lymphadenopathy</w:t>
      </w:r>
    </w:p>
    <w:p>
      <w:r>
        <w:t>b) Horner-Trantas dots</w:t>
      </w:r>
    </w:p>
    <w:p>
      <w:r>
        <w:t>c) Cobblestone papillae</w:t>
      </w:r>
    </w:p>
    <w:p>
      <w:r>
        <w:t>d) Corneal "shield ulcer"</w:t>
      </w:r>
    </w:p>
    <w:p>
      <w:pPr>
        <w:pStyle w:val="Heading2"/>
      </w:pPr>
      <w:r>
        <w:t>Question 4 / 6</w:t>
      </w:r>
    </w:p>
    <w:p>
      <w:r>
        <w:t>Which of the following topical ocular medications represents the MOST appropriate first line of treatment for the acute signs and symptoms associated with vernal keratoconjunctivitis?</w:t>
      </w:r>
    </w:p>
    <w:p>
      <w:r>
        <w:t>a) Timolol® b.i.d.</w:t>
      </w:r>
    </w:p>
    <w:p>
      <w:r>
        <w:t>b) Vigamox® t.i.d.</w:t>
      </w:r>
    </w:p>
    <w:p>
      <w:r>
        <w:t>c) Alrex® q.i.d.</w:t>
      </w:r>
    </w:p>
    <w:p>
      <w:r>
        <w:t>d) Pataday® q.d.</w:t>
      </w:r>
    </w:p>
    <w:p>
      <w:r>
        <w:t>e) Preservative-free artificial tears q.2h</w:t>
      </w:r>
    </w:p>
    <w:p>
      <w:pPr>
        <w:pStyle w:val="Heading2"/>
      </w:pPr>
      <w:r>
        <w:t>Question 5 / 6</w:t>
      </w:r>
    </w:p>
    <w:p>
      <w:r>
        <w:t>After initiating treatment, what is the MOST appropriate follow-up plan for this patient?</w:t>
      </w:r>
    </w:p>
    <w:p>
      <w:r>
        <w:t>a) Return for follow-up in 1 year for a annual eye examination</w:t>
      </w:r>
    </w:p>
    <w:p>
      <w:r>
        <w:t>b) Return for follow-up in 1 week to check patient symptoms and slit-lamp findings</w:t>
      </w:r>
    </w:p>
    <w:p>
      <w:r>
        <w:t>c) Return for follow-up in 1 week to check patients symptoms and IOP</w:t>
      </w:r>
    </w:p>
    <w:p>
      <w:r>
        <w:t>d) Return for follow-up in 6 weeks for a dilated fundus examination</w:t>
      </w:r>
    </w:p>
    <w:p>
      <w:r>
        <w:t>e) Return for follow-up in 1 month for repeat cycloplegic refraction</w:t>
      </w:r>
    </w:p>
    <w:p>
      <w:pPr>
        <w:pStyle w:val="Heading2"/>
      </w:pPr>
      <w:r>
        <w:t>Question 6 / 6</w:t>
      </w:r>
    </w:p>
    <w:p>
      <w:r>
        <w:t>If you were to perform a scraping of the conjunctival secretions in a patient suspected of having allergic conjunctivitis, the presence of which type of cell would confirm your diagnosis?</w:t>
      </w:r>
    </w:p>
    <w:p>
      <w:r>
        <w:t>a) Monocytes</w:t>
      </w:r>
    </w:p>
    <w:p>
      <w:r>
        <w:t>b) Lymphocytes</w:t>
      </w:r>
    </w:p>
    <w:p>
      <w:r>
        <w:t>c) Basophils</w:t>
      </w:r>
    </w:p>
    <w:p>
      <w:r>
        <w:t>d) Eosinophils</w:t>
      </w:r>
    </w:p>
    <w:p>
      <w:r>
        <w:t>e) Neutrophils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