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ulcRPPWgIOhiFlvw3135 Details</w:t>
      </w:r>
    </w:p>
    <w:p>
      <w:r>
        <w:rPr>
          <w:b/>
        </w:rPr>
        <w:t>Demographics</w:t>
      </w:r>
    </w:p>
    <w:p>
      <w:pPr>
        <w:pStyle w:val="ListBullet"/>
      </w:pPr>
      <w:r>
        <w:t>68-year-old Asian female; pharmacist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Character/signs/symptoms:cloudy vision; feels like looking through a "dirty windshield"</w:t>
      </w:r>
    </w:p>
    <w:p>
      <w:pPr>
        <w:pStyle w:val="ListBullet"/>
      </w:pPr>
      <w:r>
        <w:t>Location:left eye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Duration:3 months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at night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signs/symptoms:glare from oncoming headlights; difficulty driving at night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wears PALs occasionally; cataract surgery OU 2 years ago; retinal detachment OS 20 years ago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cataracts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glucosamine, chondroitin, ginkgo biloba</w:t>
      </w:r>
    </w:p>
    <w:p>
      <w:r>
        <w:rPr>
          <w:b/>
        </w:rPr>
        <w:t>Patient allergy history</w:t>
      </w:r>
    </w:p>
    <w:p>
      <w:pPr>
        <w:pStyle w:val="ListBullet"/>
      </w:pPr>
      <w:r>
        <w:t>sulfa-based medications, benzalkonium chloride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hypercholesterolemia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Ear/nose/throat:tinnitus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OD:+0.25 -1.00 x 180 add: +2.25; VA distance: 20/20, VA near: 20/20 @ 40 cm</w:t>
      </w:r>
    </w:p>
    <w:p>
      <w:pPr>
        <w:pStyle w:val="ListBullet"/>
      </w:pPr>
      <w:r>
        <w:t>OS:+0.50 -1.00 x 175 add: +2.25; VA distance: 20/60 (PH 20/50), VA near: 20/50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Keratometry</w:t>
      </w:r>
    </w:p>
    <w:p>
      <w:pPr>
        <w:pStyle w:val="ListBullet"/>
      </w:pPr>
      <w:r>
        <w:t>OD:44.25 @ 170 / 45.00 @ 080; no distortion of mires</w:t>
      </w:r>
    </w:p>
    <w:p>
      <w:pPr>
        <w:pStyle w:val="ListBullet"/>
      </w:pPr>
      <w:r>
        <w:t>OS:44.50 @ 180 / 45.25 @ 090; no distortion of mires</w:t>
      </w:r>
    </w:p>
    <w:p>
      <w:r>
        <w:rPr>
          <w:b/>
        </w:rPr>
        <w:t>Subjective refraction</w:t>
      </w:r>
    </w:p>
    <w:p>
      <w:pPr>
        <w:pStyle w:val="ListBullet"/>
      </w:pPr>
      <w:r>
        <w:t>OD:+0.25 -1.00 x 175 add: +2.50; VA distance: 20/20, VA near: 20/20 @ 40 cm</w:t>
      </w:r>
    </w:p>
    <w:p>
      <w:pPr>
        <w:pStyle w:val="ListBullet"/>
      </w:pPr>
      <w:r>
        <w:t>OS:+0.25 -1.00 x 180 add: +2.50; VA distance: 20/50, VA near: 20/40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lids/lashes/adnexa:dermatochalasis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cornea:1+ arcus, limbal girdle of Vogt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lens:PCIOL; clear and centered OD, PCIOL; see image 1 OS</w:t>
      </w:r>
    </w:p>
    <w:p>
      <w:pPr>
        <w:pStyle w:val="ListBullet"/>
      </w:pPr>
      <w:r>
        <w:t>vitreous:PVD OD, OS</w:t>
      </w:r>
    </w:p>
    <w:p>
      <w:r>
        <w:rPr>
          <w:b/>
        </w:rPr>
        <w:t>IOPs:</w:t>
      </w:r>
    </w:p>
    <w:p>
      <w:pPr>
        <w:pStyle w:val="ListBullet"/>
      </w:pPr>
      <w:r>
        <w:t>OD: 11 mmHg, OS: 12 mmHg @ 3:50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C/D:0.20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C/D:0.20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periphery:old retinal tear with cryo scars superior temporal</w:t>
      </w:r>
    </w:p>
    <w:p>
      <w:r>
        <w:rPr>
          <w:b/>
        </w:rPr>
        <w:t>Blood pressure:</w:t>
      </w:r>
    </w:p>
    <w:p>
      <w:pPr>
        <w:pStyle w:val="ListBullet"/>
      </w:pPr>
      <w:r>
        <w:t>116/72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3859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UGXCAIKACTTWZEA32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represents the MOST likely cause of the patient’s decrease in visual acuity of the left eye?</w:t>
      </w:r>
    </w:p>
    <w:p>
      <w:r>
        <w:t>a) Posterior subcapsular cataract</w:t>
      </w:r>
    </w:p>
    <w:p>
      <w:r>
        <w:t>b) Retinal detachment</w:t>
      </w:r>
    </w:p>
    <w:p>
      <w:r>
        <w:t>c) Posterior capsular opacification</w:t>
      </w:r>
    </w:p>
    <w:p>
      <w:r>
        <w:t>d) Posterior vitreous detachment</w:t>
      </w:r>
    </w:p>
    <w:p>
      <w:r>
        <w:t>e) Dermatochalasis</w:t>
      </w:r>
    </w:p>
    <w:p>
      <w:r>
        <w:t>f) Corneal arcus</w:t>
      </w:r>
    </w:p>
    <w:p>
      <w:pPr>
        <w:pStyle w:val="Heading2"/>
      </w:pPr>
      <w:r>
        <w:t>Question 2 / 5</w:t>
      </w:r>
    </w:p>
    <w:p>
      <w:r>
        <w:t>What is the MOST appropriate treatment for the patient's left eye condition?</w:t>
      </w:r>
    </w:p>
    <w:p>
      <w:r>
        <w:t>a) Blepharoplasty</w:t>
      </w:r>
    </w:p>
    <w:p>
      <w:r>
        <w:t>b) YAG iridotomy</w:t>
      </w:r>
    </w:p>
    <w:p>
      <w:r>
        <w:t>c) Systemic control of cholesterol levels</w:t>
      </w:r>
    </w:p>
    <w:p>
      <w:r>
        <w:t>d) No treatment is indicated at this time</w:t>
      </w:r>
    </w:p>
    <w:p>
      <w:r>
        <w:t>e) IOL exchange</w:t>
      </w:r>
    </w:p>
    <w:p>
      <w:r>
        <w:t>f) Vitrectomy</w:t>
      </w:r>
    </w:p>
    <w:p>
      <w:r>
        <w:t>g) YAG capsulotomy</w:t>
      </w:r>
    </w:p>
    <w:p>
      <w:r>
        <w:t>h) Cataract surgery</w:t>
      </w:r>
    </w:p>
    <w:p>
      <w:pPr>
        <w:pStyle w:val="Heading2"/>
      </w:pPr>
      <w:r>
        <w:t>Question 3 / 5</w:t>
      </w:r>
    </w:p>
    <w:p>
      <w:r>
        <w:t>What is the MOST common complication associated with this treatment option?</w:t>
      </w:r>
    </w:p>
    <w:p>
      <w:r>
        <w:t>a) Infection</w:t>
      </w:r>
    </w:p>
    <w:p>
      <w:r>
        <w:t>b) Cystoid macular edema</w:t>
      </w:r>
    </w:p>
    <w:p>
      <w:r>
        <w:t>c) Retinal detachment</w:t>
      </w:r>
    </w:p>
    <w:p>
      <w:r>
        <w:t>d) Hyphema</w:t>
      </w:r>
    </w:p>
    <w:p>
      <w:r>
        <w:t>e) Elevated intraocular pressure</w:t>
      </w:r>
    </w:p>
    <w:p>
      <w:r>
        <w:t>f) There are no associated complications</w:t>
      </w:r>
    </w:p>
    <w:p>
      <w:pPr>
        <w:pStyle w:val="Heading2"/>
      </w:pPr>
      <w:r>
        <w:t>Question 4 / 5</w:t>
      </w:r>
    </w:p>
    <w:p>
      <w:r>
        <w:t>After performing the appropriate treatment, the patient returns for a follow-up exam. At that visit, her IOPs are 17 mmHg OD and 32 mmHg OS. Which of the following medications should be prescribed to manage her elevated intraocular pressure?</w:t>
      </w:r>
    </w:p>
    <w:p>
      <w:r>
        <w:t>a) Alphagan-P®</w:t>
      </w:r>
    </w:p>
    <w:p>
      <w:r>
        <w:t>b) Cosopt®</w:t>
      </w:r>
    </w:p>
    <w:p>
      <w:r>
        <w:t>c) Diamox®</w:t>
      </w:r>
    </w:p>
    <w:p>
      <w:r>
        <w:t>d) Trusopt®</w:t>
      </w:r>
    </w:p>
    <w:p>
      <w:r>
        <w:t>e) Pilocarpine</w:t>
      </w:r>
    </w:p>
    <w:p>
      <w:pPr>
        <w:pStyle w:val="Heading2"/>
      </w:pPr>
      <w:r>
        <w:t>Question 5 / 5</w:t>
      </w:r>
    </w:p>
    <w:p>
      <w:r>
        <w:t>Which (2) of the following are NOT considered individually identifiable health information, according to HIPAA? (Select 2)</w:t>
      </w:r>
    </w:p>
    <w:p>
      <w:r>
        <w:t>a) Email address</w:t>
      </w:r>
    </w:p>
    <w:p>
      <w:r>
        <w:t>b) Medical record numbers</w:t>
      </w:r>
    </w:p>
    <w:p>
      <w:r>
        <w:t>c) Vehicle identifiers</w:t>
      </w:r>
    </w:p>
    <w:p>
      <w:r>
        <w:t>d) Phone number</w:t>
      </w:r>
    </w:p>
    <w:p>
      <w:r>
        <w:t>e) Eye color</w:t>
      </w:r>
    </w:p>
    <w:p>
      <w:r>
        <w:t>f) Initials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