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yFFkiCAAwnCLQdEa8502 Details</w:t>
      </w:r>
    </w:p>
    <w:p>
      <w:r>
        <w:rPr>
          <w:b/>
        </w:rPr>
        <w:t>Demographics</w:t>
      </w:r>
    </w:p>
    <w:p>
      <w:pPr>
        <w:pStyle w:val="ListBullet"/>
      </w:pPr>
      <w:r>
        <w:t>58-year-old black male; security guard</w:t>
      </w:r>
    </w:p>
    <w:p>
      <w:r>
        <w:rPr>
          <w:b/>
        </w:rPr>
        <w:t>Chief complaint</w:t>
      </w:r>
    </w:p>
    <w:p>
      <w:pPr>
        <w:pStyle w:val="ListBullet"/>
      </w:pPr>
      <w:r>
        <w:t>blurred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Character/signs/symptoms:difficulty reading with current glasses; has to hold material too far away</w:t>
      </w:r>
    </w:p>
    <w:p>
      <w:pPr>
        <w:pStyle w:val="ListBullet"/>
      </w:pPr>
      <w:r>
        <w:t>Location:OD, OS</w:t>
      </w:r>
    </w:p>
    <w:p>
      <w:pPr>
        <w:pStyle w:val="ListBullet"/>
      </w:pPr>
      <w:r>
        <w:t>Severity:mild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Duration:2 years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Exacerbations/remissions:vision is clear if he pushes near material away</w:t>
      </w:r>
    </w:p>
    <w:p>
      <w:pPr>
        <w:pStyle w:val="ListBullet"/>
      </w:pPr>
      <w:r>
        <w:t>Relationship to activity or function:only occurs with near tasks; distance vision is adequate</w:t>
      </w:r>
    </w:p>
    <w:p>
      <w:pPr>
        <w:pStyle w:val="ListBullet"/>
      </w:pPr>
      <w:r>
        <w:t>Accompanying signs/symptoms:eyestrain and fatigue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blunt ocular trauma OD (10 years ago), herpes simplex keratitis (unsure of eye, 5 years ago); last eye exam 4 years ago</w:t>
      </w:r>
    </w:p>
    <w:p>
      <w:r>
        <w:rPr>
          <w:b/>
        </w:rPr>
        <w:t>Family ocular history</w:t>
      </w:r>
    </w:p>
    <w:p>
      <w:pPr>
        <w:pStyle w:val="ListBullet"/>
      </w:pPr>
      <w:r>
        <w:t>mother: glaucoma suspect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hypertension, hyperlipidemia, sleep apnea</w:t>
      </w:r>
    </w:p>
    <w:p>
      <w:r>
        <w:rPr>
          <w:b/>
        </w:rPr>
        <w:t>Medications taken by patient</w:t>
      </w:r>
    </w:p>
    <w:p>
      <w:pPr>
        <w:pStyle w:val="ListBullet"/>
      </w:pPr>
      <w:r>
        <w:t>hydrochlorothiazide, Lipitor®</w:t>
      </w:r>
    </w:p>
    <w:p>
      <w:r>
        <w:rPr>
          <w:b/>
        </w:rPr>
        <w:t>Patient allergy history</w:t>
      </w:r>
    </w:p>
    <w:p>
      <w:pPr>
        <w:pStyle w:val="ListBullet"/>
      </w:pPr>
      <w:r>
        <w:t>sulfa-based medications</w:t>
      </w:r>
    </w:p>
    <w:p>
      <w:r>
        <w:rPr>
          <w:b/>
        </w:rPr>
        <w:t>Family medical history</w:t>
      </w:r>
    </w:p>
    <w:p>
      <w:pPr>
        <w:pStyle w:val="ListBullet"/>
      </w:pPr>
      <w:r>
        <w:t>mother: hypothyroidism, father: hypertension, hyperlipidemia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Pulmonary:sleep apnea (uses CPAP)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OD:-3.25 -0.75 x 175 add: +1.50; VA distance: 20/20, VA near: 20/30 @ 40 cm</w:t>
      </w:r>
    </w:p>
    <w:p>
      <w:pPr>
        <w:pStyle w:val="ListBullet"/>
      </w:pPr>
      <w:r>
        <w:t>OS:-2.50 -1.25 x 010 add: +1.50; VA distance: 20/20, VA near: 20/30 @ 40 cm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OD:-3.25 -1.00 x 170 add: +2.00; VA distance: 20/20, VA near: 20/20 @ 40 cm</w:t>
      </w:r>
    </w:p>
    <w:p>
      <w:pPr>
        <w:pStyle w:val="ListBullet"/>
      </w:pPr>
      <w:r>
        <w:t>OS:-2.75 -1.00 x 008 add: +2.00; VA distance: 20/20, VA near: 20/20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cornea:1+ arcus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22 mmHg, OS: 23 mmHg @ 9:10 am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2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Gonioscopy:</w:t>
      </w:r>
    </w:p>
    <w:p>
      <w:pPr>
        <w:pStyle w:val="ListBullet"/>
      </w:pPr>
      <w:r>
        <w:t>open to ciliary body band, 1+ pigment inferior, (-) peripheral anterior synechiae, (-) angle recession OD, OS</w:t>
      </w:r>
    </w:p>
    <w:p>
      <w:r>
        <w:rPr>
          <w:b/>
        </w:rPr>
        <w:t>Blood pressure:</w:t>
      </w:r>
    </w:p>
    <w:p>
      <w:pPr>
        <w:pStyle w:val="ListBullet"/>
      </w:pPr>
      <w:r>
        <w:t>114/76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58 bpm, regular</w:t>
      </w:r>
    </w:p>
    <w:p>
      <w:r>
        <w:rPr>
          <w:b/>
        </w:rPr>
        <w:t>Threshold visual fields:</w:t>
      </w:r>
    </w:p>
    <w:p>
      <w:pPr>
        <w:pStyle w:val="ListBullet"/>
      </w:pPr>
      <w:r>
        <w:t>OD:see image 3</w:t>
      </w:r>
    </w:p>
    <w:p>
      <w:pPr>
        <w:pStyle w:val="ListBullet"/>
      </w:pPr>
      <w:r>
        <w:t>OS:see image 4</w:t>
      </w:r>
    </w:p>
    <w:p>
      <w:r>
        <w:drawing>
          <wp:inline xmlns:a="http://schemas.openxmlformats.org/drawingml/2006/main" xmlns:pic="http://schemas.openxmlformats.org/drawingml/2006/picture">
            <wp:extent cx="1828800" cy="1368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IDDHRFLNOIIBJBUJ857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8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13685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VYGTBZCNECLRDJYE857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68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10371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CJTOZIGOUVIAYOAW857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037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21747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TCIGUAVKILFWCCVW857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1747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Considering the case history and examination findings, what is the MOST appropriate diagnosis for this patient?</w:t>
      </w:r>
    </w:p>
    <w:p>
      <w:r>
        <w:t>a) Pigment dispersion glaucoma</w:t>
      </w:r>
    </w:p>
    <w:p>
      <w:r>
        <w:t>b) Primary open angle glaucoma</w:t>
      </w:r>
    </w:p>
    <w:p>
      <w:r>
        <w:t>c) Traumatic glaucoma</w:t>
      </w:r>
    </w:p>
    <w:p>
      <w:r>
        <w:t>d) Physiologic optic nerve cupping</w:t>
      </w:r>
    </w:p>
    <w:p>
      <w:r>
        <w:t>e) Normal tension glaucoma</w:t>
      </w:r>
    </w:p>
    <w:p>
      <w:r>
        <w:t>f) Angle recession glaucoma</w:t>
      </w:r>
    </w:p>
    <w:p>
      <w:r>
        <w:t>g) Ocular hypertension</w:t>
      </w:r>
    </w:p>
    <w:p>
      <w:pPr>
        <w:pStyle w:val="Heading2"/>
      </w:pPr>
      <w:r>
        <w:t>Question 2 / 5</w:t>
      </w:r>
    </w:p>
    <w:p>
      <w:r>
        <w:t>Which of the following represents the MOST common early pattern of a glaucomatous visual field loss?</w:t>
      </w:r>
    </w:p>
    <w:p>
      <w:r>
        <w:t>a) Enlarged blind spot</w:t>
      </w:r>
    </w:p>
    <w:p>
      <w:r>
        <w:t>b) Inferior nasal step</w:t>
      </w:r>
    </w:p>
    <w:p>
      <w:r>
        <w:t>c) Inferior arcuate</w:t>
      </w:r>
    </w:p>
    <w:p>
      <w:r>
        <w:t>d) Paracentral scotoma</w:t>
      </w:r>
    </w:p>
    <w:p>
      <w:r>
        <w:t>e) Superior arcuate</w:t>
      </w:r>
    </w:p>
    <w:p>
      <w:r>
        <w:t>f) Superior nasal step</w:t>
      </w:r>
    </w:p>
    <w:p>
      <w:pPr>
        <w:pStyle w:val="Heading2"/>
      </w:pPr>
      <w:r>
        <w:t>Question 3 / 5</w:t>
      </w:r>
    </w:p>
    <w:p>
      <w:r>
        <w:t>Which of the following BEST describes the etiology of increased intraocular pressure in the classic presentation of this patient’s condition?</w:t>
      </w:r>
    </w:p>
    <w:p>
      <w:r>
        <w:t>a) Deposition of pigment within the trabecular meshwork</w:t>
      </w:r>
    </w:p>
    <w:p>
      <w:r>
        <w:t>b) Increased aqueous production by active secretion</w:t>
      </w:r>
    </w:p>
    <w:p>
      <w:r>
        <w:t>c) Resistance of outflow within the trabecular meshwork</w:t>
      </w:r>
    </w:p>
    <w:p>
      <w:r>
        <w:t>d) Increased aqueous production through ultrafiltration</w:t>
      </w:r>
    </w:p>
    <w:p>
      <w:r>
        <w:t>e) Damage to the trabecular meshwork from a history of trauma</w:t>
      </w:r>
    </w:p>
    <w:p>
      <w:pPr>
        <w:pStyle w:val="Heading2"/>
      </w:pPr>
      <w:r>
        <w:t>Question 4 / 5</w:t>
      </w:r>
    </w:p>
    <w:p>
      <w:r>
        <w:t>After initiating treatment with topical IOP-lowering medications, when is the MOST appropriate time to follow-up with this patient?</w:t>
      </w:r>
    </w:p>
    <w:p>
      <w:r>
        <w:t>a) 1 month</w:t>
      </w:r>
    </w:p>
    <w:p>
      <w:r>
        <w:t>b) 3 months</w:t>
      </w:r>
    </w:p>
    <w:p>
      <w:r>
        <w:t>c) 6 months</w:t>
      </w:r>
    </w:p>
    <w:p>
      <w:r>
        <w:t>d) 1 day</w:t>
      </w:r>
    </w:p>
    <w:p>
      <w:r>
        <w:t>e) 1 week</w:t>
      </w:r>
    </w:p>
    <w:p>
      <w:pPr>
        <w:pStyle w:val="Heading2"/>
      </w:pPr>
      <w:r>
        <w:t>Question 5 / 5</w:t>
      </w:r>
    </w:p>
    <w:p>
      <w:r>
        <w:t>According to the American Optometric Association's Standards of Professional Conduct, "An optometrist has the duty to involve the patient in care and treatment decisions in a meaningful way, with due consideration of the patient's needs, desires, abilities, and understanding, while safeguarding the patient's privacy." Which of the following terms BEST describes this statement?</w:t>
      </w:r>
    </w:p>
    <w:p>
      <w:r>
        <w:t>a) Justice</w:t>
      </w:r>
    </w:p>
    <w:p>
      <w:r>
        <w:t>b) Non-maleficence</w:t>
      </w:r>
    </w:p>
    <w:p>
      <w:r>
        <w:t>c) Patient autonomy</w:t>
      </w:r>
    </w:p>
    <w:p>
      <w:r>
        <w:t>d) Beneficence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