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characteristics by procedure**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67"/>
        <w:gridCol w:w="1597"/>
        <w:gridCol w:w="1597"/>
        <w:gridCol w:w="1597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OAGB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RYGB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122.5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120.5 (20.7)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116.5 (16.8)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body fat percentage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predicted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 (13.1)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fat-free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 (10.1)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skeletal muscle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appendicular skeletal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929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Hypothyroidism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(19%)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(SD)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One-way analysis of means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2026-09-14T19:32:41Z</dcterms:modified>
  <cp:category/>
</cp:coreProperties>
</file>