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Adjusted between-procedure differences in changes from preoperative values for muscle-related outcomes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83"/>
        <w:gridCol w:w="4287"/>
        <w:gridCol w:w="2428"/>
        <w:gridCol w:w="2428"/>
        <w:gridCol w:w="242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Follow-up 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SG - OAGB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SG - RYGB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OAGB - RYGB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0–1m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Predicted muscle mass (kg)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 (-1.40 to 0.20)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-1.06 (-2.14 to 0.02)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 (-1.40 to 0.48)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0–1m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Fat-free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 (-1.46 to 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-1.11 (-2.24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 (-1.48 to 0.50)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0–1m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Skeletal muscle mass index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 (-0.27 to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 (-0.37 to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 (-0.23 to 0.13)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0–1m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Appendicular skeletal muscle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 (-0.85 to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 (-1.21 to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 (-0.74 to 0.34)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1–6m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Predicted muscle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-0.75 (-1.19 to -0.31)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-1.34 (-2.03 to -0.65)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 (-1.22 to 0.04)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1–6m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Fat-free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-0.81 (-1.27 to -0.34)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-1.44 (-2.16 to -0.72)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 (-1.29 to 0.03)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1–6m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Skeletal muscle mass index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-0.12 (-0.21 to -0.04)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 (-0.24 to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(-0.11 to 0.14)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1–6m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Appendicular skeletal muscle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-0.41 (-0.67 to -0.16)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-0.52 (-0.92 to -0.12)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 (-0.47 to 0.25)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6–12m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Predicted muscle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-0.89 (-1.43 to -0.35)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-1.55 (-2.32 to -0.77)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 (-1.34 to 0.03)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6–12m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Fat-free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-0.95 (-1.51 to -0.38)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-1.65 (-2.47 to -0.84)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-0.71 (-1.43 to 0.01)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6–12m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Skeletal muscle mass index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-0.16 (-0.27 to -0.06)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 (-0.28 to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(-0.10 to 0.17)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6–12m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Appendicular skeletal muscle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-0.51 (-0.82 to -0.20)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-0.60 (-1.04 to -0.15)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 (-0.48 to 0.31)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12–24m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Predicted muscle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 (-0.85 to 0.53)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-1.13 (-2.06 to -0.19)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-0.97 (-1.78 to -0.15)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12–24m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Fat-free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 (-0.90 to 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-1.22 (-2.20 to -0.24)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-1.05 (-1.90 to -0.20)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12–24m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Skeletal muscle mass index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(-0.12 to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 (-0.28 to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 (-0.27 to 0.05)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12–24m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Appendicular skeletal muscle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 (-0.44 to 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-0.54 (-1.08 to -0.01)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-0.50 (-0.97 to -0.03)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&gt;24m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Predicted muscle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0.88 (0.07 to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 (-1.45 to 0.64)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-1.29 (-2.15 to -0.42)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&gt;24m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Fat-free mass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0.92 (0.07 to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 (-1.56 to 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-1.39 (-2.30 to -0.48)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&gt;24m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Skeletal muscle mass index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0.27 (0.12 to 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(-0.14 to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-0.21 (-0.38 to -0.04)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&gt;24m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Appendicular skeletal muscle mass (kg)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0.69 (0.23 to 1.16)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 (-0.71 to 0.50)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-0.80 (-1.30 to -0.30)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Values are adjusted differences in change from the preoperative period (change in the first procedure minus change in the second procedure), with Tukey-adjusted 95% confidence intervals. Negative estimates indicate a greater decline in the first procedure; positive estimates indicate a greater decline in the second procedure. Bold values have confidence intervals excluding zero.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2026-09-14T19:32:42Z</dcterms:modified>
  <cp:category/>
</cp:coreProperties>
</file>