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u8fu9he87d5" w:id="0"/>
      <w:bookmarkEnd w:id="0"/>
      <w:r w:rsidDel="00000000" w:rsidR="00000000" w:rsidRPr="00000000">
        <w:rPr>
          <w:rtl w:val="0"/>
        </w:rPr>
        <w:t xml:space="preserve">Q4: What does the moving average look like for each industry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6v9b8he6jm5" w:id="1"/>
      <w:bookmarkEnd w:id="1"/>
      <w:r w:rsidDel="00000000" w:rsidR="00000000" w:rsidRPr="00000000">
        <w:rPr>
          <w:rtl w:val="0"/>
        </w:rPr>
        <w:t xml:space="preserve">Moving Average Analysis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8tvd478etey9" w:id="2"/>
      <w:bookmarkEnd w:id="2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81965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moving average for the technology sector, particularly over 150 days, reveals a robust recovery post-COVID and during the 2022 market decline. Notably, Apple exhibited a strong increase in volumes post-pandemic, while Micron Tech's volumes surpassed Apple's before the pandemic.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s934eca4emha" w:id="3"/>
      <w:bookmarkEnd w:id="3"/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/>
        <w:drawing>
          <wp:inline distB="114300" distT="114300" distL="114300" distR="114300">
            <wp:extent cx="5343525" cy="48196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Similar to the technology sector, finance experienced a strong recovery post-pandemic and in the 2022 market decline. Morgan Stanley and Visa emerged as the most traded stocks, with volumes increasing during the pandemic and returning to normalcy thereafter.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6rwuefxlmy1" w:id="4"/>
      <w:bookmarkEnd w:id="4"/>
      <w:r w:rsidDel="00000000" w:rsidR="00000000" w:rsidRPr="00000000">
        <w:rPr>
          <w:rtl w:val="0"/>
        </w:rPr>
        <w:t xml:space="preserve">Automotives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8196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automotive sector exhibited higher volatility than finance and tech, with a significant upward trend post-pandemic and a steep decline during the 2022 market downturn. Notably, Ford, AMD, and Tesla were the highest traded stocks, with Tesla's volumes reaching new heights in 2023.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k30tloflml1" w:id="5"/>
      <w:bookmarkEnd w:id="5"/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8196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Healthcare, resilient post-pandemic, faced a decline during the 2022 market downturn but recovered similarly to tech and finance. Pfizer and Moderna stood out as the two most traded healthcare stocks, with Moderna experiencing a steep increase in production during and after the pandemic.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zd4qvdyjest" w:id="6"/>
      <w:bookmarkEnd w:id="6"/>
      <w:r w:rsidDel="00000000" w:rsidR="00000000" w:rsidRPr="00000000">
        <w:rPr>
          <w:rtl w:val="0"/>
        </w:rPr>
        <w:t xml:space="preserve">Q5:  Which ticker was most traded in each year?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0ebssua6xqi" w:id="7"/>
      <w:bookmarkEnd w:id="7"/>
      <w:r w:rsidDel="00000000" w:rsidR="00000000" w:rsidRPr="00000000">
        <w:rPr>
          <w:rtl w:val="0"/>
        </w:rPr>
        <w:t xml:space="preserve">Highest Volume Traded Analysis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araldmjtjrsb" w:id="8"/>
      <w:bookmarkEnd w:id="8"/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51485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Apple witnessed a significant increase in volumes post-COVID, while Micron Tech had higher volumes than Apple before the pandemic.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13qj3z7uc1x" w:id="9"/>
      <w:bookmarkEnd w:id="9"/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51485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Morgan Stanley and Visa were the most traded stocks, with volumes increasing during the pandemic and reverting to pre-pandemic levels afterward.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5m9ukbqsf47" w:id="10"/>
      <w:bookmarkEnd w:id="10"/>
      <w:r w:rsidDel="00000000" w:rsidR="00000000" w:rsidRPr="00000000">
        <w:rPr>
          <w:rtl w:val="0"/>
        </w:rPr>
        <w:t xml:space="preserve">Automobiles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5148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Ford, AMD, and Tesla dominated trading volumes, with Tesla experiencing a substantial increase in production and volumes in 2023.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yb815m9f7xzw" w:id="11"/>
      <w:bookmarkEnd w:id="11"/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45148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Pfizer and Moderna emerged as the highest traded healthcare stocks, with Moderna experiencing a notable increase in production during the pandemic.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urjwtsv3xv9" w:id="12"/>
      <w:bookmarkEnd w:id="12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our analysis provides valuable insights, it is essential to acknowledge certain limitations. The data used in the analysis represents a small fraction of the the entire stock market, and should be acknowledged as a limitation, as this is not fully representative of the entire market.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Factors such as market sentiment, geopolitical events, and unforeseen circumstances may also not be fully captured in our methodology.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