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CC50" w14:textId="6D3BD195" w:rsidR="00B33004" w:rsidRPr="006A7DF0" w:rsidRDefault="008278A0">
      <w:pPr>
        <w:rPr>
          <w:sz w:val="36"/>
          <w:szCs w:val="36"/>
        </w:rPr>
      </w:pPr>
      <w:r w:rsidRPr="006A7DF0">
        <w:rPr>
          <w:sz w:val="36"/>
          <w:szCs w:val="36"/>
        </w:rPr>
        <w:t>Diagnostic Analysis using Python</w:t>
      </w:r>
    </w:p>
    <w:p w14:paraId="3A6F6B00" w14:textId="341C291C" w:rsidR="008278A0" w:rsidRPr="00187DDC" w:rsidRDefault="008278A0">
      <w:pPr>
        <w:rPr>
          <w:b/>
          <w:bCs/>
          <w:u w:val="single"/>
        </w:rPr>
      </w:pPr>
      <w:r w:rsidRPr="00187DDC">
        <w:rPr>
          <w:b/>
          <w:bCs/>
          <w:u w:val="single"/>
        </w:rPr>
        <w:t>Background / context of the business scenario</w:t>
      </w:r>
    </w:p>
    <w:p w14:paraId="4EF80B12" w14:textId="7FF45357" w:rsidR="00360D93" w:rsidRDefault="00360D93" w:rsidP="00360D93">
      <w:r w:rsidRPr="00360D93">
        <w:t>The National Health Service (NHS) must plan future infrastructure and resources to keep pace with a growing population. To budget effectively, it needs a clear understanding of how services are currently used across its network and where pressure on the system is greatest. One significant concern is the cost incurred when patients miss their general practice (GP) appointments.</w:t>
      </w:r>
    </w:p>
    <w:p w14:paraId="5085924B" w14:textId="1028D792" w:rsidR="00360D93" w:rsidRDefault="00360D93" w:rsidP="00374C97">
      <w:pPr>
        <w:pStyle w:val="ListParagraph"/>
        <w:numPr>
          <w:ilvl w:val="0"/>
          <w:numId w:val="2"/>
        </w:numPr>
      </w:pPr>
      <w:r w:rsidRPr="00360D93">
        <w:t>How are appointment volumes and wasted capacity from missed appointments distributed across regions and services, and which regions are most affected?</w:t>
      </w:r>
    </w:p>
    <w:p w14:paraId="76114BAD" w14:textId="22BEF47F" w:rsidR="00360D93" w:rsidRDefault="00360D93" w:rsidP="000B429B">
      <w:pPr>
        <w:pStyle w:val="ListParagraph"/>
        <w:numPr>
          <w:ilvl w:val="0"/>
          <w:numId w:val="2"/>
        </w:numPr>
      </w:pPr>
      <w:r w:rsidRPr="00360D93">
        <w:t xml:space="preserve">What appointment features </w:t>
      </w:r>
      <w:r>
        <w:t xml:space="preserve">– such as mode, service type, and lead time – </w:t>
      </w:r>
      <w:r w:rsidRPr="00360D93">
        <w:t>are associated with higher no</w:t>
      </w:r>
      <w:r w:rsidRPr="00360D93">
        <w:noBreakHyphen/>
        <w:t>show risk?</w:t>
      </w:r>
    </w:p>
    <w:p w14:paraId="7A7050D7" w14:textId="50B73EF8" w:rsidR="00360D93" w:rsidRDefault="00360D93" w:rsidP="000B429B">
      <w:pPr>
        <w:pStyle w:val="ListParagraph"/>
        <w:numPr>
          <w:ilvl w:val="0"/>
          <w:numId w:val="2"/>
        </w:numPr>
      </w:pPr>
      <w:r w:rsidRPr="00360D93">
        <w:t>Where should the NHS prioritise interventions and capacity?</w:t>
      </w:r>
    </w:p>
    <w:p w14:paraId="036D731A" w14:textId="57A45E27" w:rsidR="009828CD" w:rsidRPr="00187DDC" w:rsidRDefault="009828CD" w:rsidP="00507E25">
      <w:pPr>
        <w:rPr>
          <w:u w:val="single"/>
        </w:rPr>
      </w:pPr>
      <w:r w:rsidRPr="00187DDC">
        <w:rPr>
          <w:b/>
          <w:bCs/>
          <w:u w:val="single"/>
        </w:rPr>
        <w:t>Analytical approach</w:t>
      </w:r>
    </w:p>
    <w:p w14:paraId="6FF8904A" w14:textId="6A365E54" w:rsidR="0078230C" w:rsidRPr="0078230C" w:rsidRDefault="0078230C" w:rsidP="0078230C">
      <w:r w:rsidRPr="0078230C">
        <w:t xml:space="preserve">All datasets were processed using a consistent workflow in Python, primarily with the pandas and numpy libraries. Where source files were provided in Excel (e.g. the national categories file), they were first converted to CSV to simplify </w:t>
      </w:r>
      <w:r>
        <w:t>parsing</w:t>
      </w:r>
      <w:r w:rsidRPr="0078230C">
        <w:t xml:space="preserve"> and improve performance in Jupyter Notebook.</w:t>
      </w:r>
    </w:p>
    <w:p w14:paraId="2DC461D7" w14:textId="37F4F832" w:rsidR="0078230C" w:rsidRPr="0078230C" w:rsidRDefault="0078230C" w:rsidP="0078230C">
      <w:r w:rsidRPr="0078230C">
        <w:t>On import, I standardised column names and converted key fields to appropriate data types. In particular, appointment-related dates (e.g. appointment_date,</w:t>
      </w:r>
      <w:r>
        <w:t xml:space="preserve"> </w:t>
      </w:r>
      <w:r w:rsidRPr="0078230C">
        <w:t>appointment_month) were cast to datetime to support time</w:t>
      </w:r>
      <w:r w:rsidRPr="0078230C">
        <w:noBreakHyphen/>
        <w:t>series analysis</w:t>
      </w:r>
      <w:r w:rsidR="00EE1C7D">
        <w:t xml:space="preserve">. </w:t>
      </w:r>
      <w:r w:rsidRPr="0078230C">
        <w:t>I then conducted an initial data quality review by checking for missing values (NaN) across all major fields.</w:t>
      </w:r>
    </w:p>
    <w:p w14:paraId="61EA51CA" w14:textId="6CEED2FE" w:rsidR="0078230C" w:rsidRPr="0078230C" w:rsidRDefault="0078230C" w:rsidP="0078230C">
      <w:r w:rsidRPr="0078230C">
        <w:t>To go beyond simple NaN checks, I wrote a small helper function</w:t>
      </w:r>
      <w:r w:rsidR="00A2619D">
        <w:t xml:space="preserve"> (check_unique_values)</w:t>
      </w:r>
      <w:r w:rsidRPr="0078230C">
        <w:t xml:space="preserve"> to inspect unique values in categorical columns. This was used to identify “hidden” quality issues such as labels like “Unknown”</w:t>
      </w:r>
      <w:r w:rsidR="00EE1C7D">
        <w:t xml:space="preserve"> and </w:t>
      </w:r>
      <w:r w:rsidRPr="0078230C">
        <w:t>“Inconsistent Mapping”</w:t>
      </w:r>
      <w:r w:rsidR="00EE1C7D">
        <w:t xml:space="preserve">, </w:t>
      </w:r>
      <w:r w:rsidRPr="0078230C">
        <w:t>which would not register as missing but could distort analysis if left in. Based on these checks, I created filtered subsets of key datasets (</w:t>
      </w:r>
      <w:r w:rsidR="00EE1C7D">
        <w:t>e.g. cleaned_ad)</w:t>
      </w:r>
      <w:r w:rsidRPr="0078230C">
        <w:t xml:space="preserve"> that excluded such problematic categories when they would add noise rather than insight.</w:t>
      </w:r>
    </w:p>
    <w:p w14:paraId="7550A6AB" w14:textId="1405A14F" w:rsidR="0078230C" w:rsidRPr="0078230C" w:rsidRDefault="0078230C" w:rsidP="0078230C">
      <w:r w:rsidRPr="0078230C">
        <w:t>Because the core appointment datasets did not directly contain region</w:t>
      </w:r>
      <w:r w:rsidRPr="0078230C">
        <w:noBreakHyphen/>
        <w:t>level identifiers, I constructed an Integrated Care Board (ICB) location mapping table from an external source (geoportal.statistics.gov.uk). This mapping linked sub</w:t>
      </w:r>
      <w:r w:rsidRPr="0078230C">
        <w:noBreakHyphen/>
        <w:t>ICB location codes to ICBs and NHS regions. From this, I derived a region lookup table to enable analysis at multiple levels of aggregation: regional, ICB, and sub</w:t>
      </w:r>
      <w:r w:rsidRPr="0078230C">
        <w:noBreakHyphen/>
        <w:t>ICB.</w:t>
      </w:r>
    </w:p>
    <w:p w14:paraId="6492478C" w14:textId="11ED3397" w:rsidR="00BA3ED4" w:rsidRDefault="0078230C" w:rsidP="0078230C">
      <w:r w:rsidRPr="0078230C">
        <w:t xml:space="preserve">Finally, I merged the cleaned appointment datasets with the region lookup, so that each appointment record could be associated with its corresponding region and ICB. These merged datasets formed the basis for the visualisations and summary tables used to </w:t>
      </w:r>
      <w:r w:rsidRPr="0078230C">
        <w:lastRenderedPageBreak/>
        <w:t>address the analytic questions</w:t>
      </w:r>
      <w:r w:rsidR="00793442">
        <w:t xml:space="preserve">, </w:t>
      </w:r>
      <w:r w:rsidR="00793442" w:rsidRPr="00793442">
        <w:t xml:space="preserve">including regional patterns of utilisation, </w:t>
      </w:r>
      <w:r w:rsidR="00BA3ED4">
        <w:t>identification of appointment features associated with missed appointments, and identification of regions and sub-</w:t>
      </w:r>
      <w:r w:rsidR="001035AA">
        <w:t>ICB</w:t>
      </w:r>
      <w:r w:rsidR="00BA3ED4">
        <w:t xml:space="preserve"> locations that may require additional support or prioritization. </w:t>
      </w:r>
    </w:p>
    <w:p w14:paraId="0E26E85F" w14:textId="1A70431D" w:rsidR="009828CD" w:rsidRPr="00187DDC" w:rsidRDefault="009828CD">
      <w:pPr>
        <w:rPr>
          <w:b/>
          <w:bCs/>
          <w:u w:val="single"/>
        </w:rPr>
      </w:pPr>
      <w:r w:rsidRPr="00187DDC">
        <w:rPr>
          <w:b/>
          <w:bCs/>
          <w:u w:val="single"/>
        </w:rPr>
        <w:t xml:space="preserve">Visualization and insights </w:t>
      </w:r>
    </w:p>
    <w:p w14:paraId="68DD2081" w14:textId="16DF3AF9" w:rsidR="00AC4031" w:rsidRPr="00AC4031" w:rsidRDefault="00F773E9" w:rsidP="00AC4031">
      <w:r>
        <w:t>My</w:t>
      </w:r>
      <w:r w:rsidR="00AC4031" w:rsidRPr="00AC4031">
        <w:t xml:space="preserve"> presentation uses ten visualisations to communicate patterns and predictions from the dataset, with each choice aligned to specific business questions about demand, missed appointments, and capacity.</w:t>
      </w:r>
    </w:p>
    <w:p w14:paraId="0634F0B9" w14:textId="0A7B8C78" w:rsidR="00AC4031" w:rsidRPr="00AC4031" w:rsidRDefault="00AC4031" w:rsidP="00AC4031">
      <w:pPr>
        <w:rPr>
          <w:b/>
          <w:bCs/>
        </w:rPr>
      </w:pPr>
      <w:r w:rsidRPr="00AC4031">
        <w:rPr>
          <w:b/>
          <w:bCs/>
        </w:rPr>
        <w:t xml:space="preserve"> Line charts – trends and “pressure points” over time</w:t>
      </w:r>
    </w:p>
    <w:p w14:paraId="3803A659" w14:textId="77777777" w:rsidR="00AC4031" w:rsidRPr="00AC4031" w:rsidRDefault="00AC4031" w:rsidP="00AC4031">
      <w:r w:rsidRPr="00AC4031">
        <w:t>To understand how appointment demand and missed appointments evolve over time, I use line charts, for example:</w:t>
      </w:r>
    </w:p>
    <w:p w14:paraId="7F11868F" w14:textId="77777777" w:rsidR="00AC4031" w:rsidRPr="00AC4031" w:rsidRDefault="00AC4031" w:rsidP="00AC4031">
      <w:pPr>
        <w:numPr>
          <w:ilvl w:val="0"/>
          <w:numId w:val="4"/>
        </w:numPr>
      </w:pPr>
      <w:r w:rsidRPr="00AC4031">
        <w:t>Regional Appointment Demand Over Time</w:t>
      </w:r>
    </w:p>
    <w:p w14:paraId="5E64212C" w14:textId="77777777" w:rsidR="00AC4031" w:rsidRPr="00AC4031" w:rsidRDefault="00AC4031" w:rsidP="00AC4031">
      <w:pPr>
        <w:numPr>
          <w:ilvl w:val="0"/>
          <w:numId w:val="4"/>
        </w:numPr>
      </w:pPr>
      <w:r w:rsidRPr="00AC4031">
        <w:t>Missed Appointments per Appointment Mode Over Time</w:t>
      </w:r>
    </w:p>
    <w:p w14:paraId="42596D53" w14:textId="77777777" w:rsidR="00AC4031" w:rsidRPr="00AC4031" w:rsidRDefault="00AC4031" w:rsidP="00AC4031">
      <w:r w:rsidRPr="00AC4031">
        <w:t>Rationale and benefits</w:t>
      </w:r>
    </w:p>
    <w:p w14:paraId="7BC3E8E8" w14:textId="77777777" w:rsidR="00AC4031" w:rsidRPr="00AC4031" w:rsidRDefault="00AC4031" w:rsidP="00AC4031">
      <w:pPr>
        <w:numPr>
          <w:ilvl w:val="0"/>
          <w:numId w:val="5"/>
        </w:numPr>
      </w:pPr>
      <w:r w:rsidRPr="00AC4031">
        <w:t>Line charts are the clearest way to show trends, seasonality, and turning points.</w:t>
      </w:r>
    </w:p>
    <w:p w14:paraId="25CB11BB" w14:textId="53E0EEF6" w:rsidR="00AC4031" w:rsidRPr="00AC4031" w:rsidRDefault="00AC4031" w:rsidP="00AC4031">
      <w:pPr>
        <w:numPr>
          <w:ilvl w:val="0"/>
          <w:numId w:val="5"/>
        </w:numPr>
      </w:pPr>
      <w:r w:rsidRPr="00AC4031">
        <w:t>They make it easy for stakeholders to see spikes and dips that may align with operational events (e.g. flu season</w:t>
      </w:r>
      <w:r>
        <w:t>).</w:t>
      </w:r>
    </w:p>
    <w:p w14:paraId="7A73F9BD" w14:textId="77777777" w:rsidR="00AC4031" w:rsidRPr="00AC4031" w:rsidRDefault="00AC4031" w:rsidP="00AC4031">
      <w:pPr>
        <w:numPr>
          <w:ilvl w:val="0"/>
          <w:numId w:val="5"/>
        </w:numPr>
      </w:pPr>
      <w:r w:rsidRPr="00AC4031">
        <w:t>By explicitly highlighting the Pre</w:t>
      </w:r>
      <w:r w:rsidRPr="00AC4031">
        <w:noBreakHyphen/>
        <w:t xml:space="preserve">Christmas Rush period on these charts, the visuals show: </w:t>
      </w:r>
    </w:p>
    <w:p w14:paraId="4E40BA73" w14:textId="77777777" w:rsidR="00AC4031" w:rsidRPr="00AC4031" w:rsidRDefault="00AC4031" w:rsidP="00AC4031">
      <w:pPr>
        <w:numPr>
          <w:ilvl w:val="1"/>
          <w:numId w:val="5"/>
        </w:numPr>
      </w:pPr>
      <w:r w:rsidRPr="00AC4031">
        <w:t>When the service experiences sustained pressure.</w:t>
      </w:r>
    </w:p>
    <w:p w14:paraId="243DB21C" w14:textId="77777777" w:rsidR="00AC4031" w:rsidRPr="00AC4031" w:rsidRDefault="00AC4031" w:rsidP="00AC4031">
      <w:pPr>
        <w:numPr>
          <w:ilvl w:val="1"/>
          <w:numId w:val="5"/>
        </w:numPr>
      </w:pPr>
      <w:r w:rsidRPr="00AC4031">
        <w:t>How this pressure coincides with increased cancellations or DNAs.</w:t>
      </w:r>
    </w:p>
    <w:p w14:paraId="134ACE27" w14:textId="69C3A3BC" w:rsidR="00AC4031" w:rsidRPr="00AC4031" w:rsidRDefault="00AC4031" w:rsidP="00AC4031">
      <w:pPr>
        <w:rPr>
          <w:b/>
          <w:bCs/>
        </w:rPr>
      </w:pPr>
      <w:r w:rsidRPr="00AC4031">
        <w:rPr>
          <w:b/>
          <w:bCs/>
        </w:rPr>
        <w:t>Heatmaps – proportional differences and multi</w:t>
      </w:r>
      <w:r w:rsidRPr="00AC4031">
        <w:rPr>
          <w:b/>
          <w:bCs/>
        </w:rPr>
        <w:noBreakHyphen/>
        <w:t>dimensional comparisons</w:t>
      </w:r>
    </w:p>
    <w:p w14:paraId="37D36039" w14:textId="77777777" w:rsidR="00AC4031" w:rsidRPr="00AC4031" w:rsidRDefault="00AC4031" w:rsidP="00AC4031">
      <w:r w:rsidRPr="00AC4031">
        <w:t>Where the key question is “how do regions or statuses compare proportionally?”, I use heatmaps, for example:</w:t>
      </w:r>
    </w:p>
    <w:p w14:paraId="431F2B12" w14:textId="77777777" w:rsidR="00AC4031" w:rsidRPr="00AC4031" w:rsidRDefault="00AC4031" w:rsidP="00AC4031">
      <w:pPr>
        <w:numPr>
          <w:ilvl w:val="0"/>
          <w:numId w:val="6"/>
        </w:numPr>
      </w:pPr>
      <w:r w:rsidRPr="00AC4031">
        <w:t>Service Mix Across Regions</w:t>
      </w:r>
    </w:p>
    <w:p w14:paraId="1DC42C81" w14:textId="77777777" w:rsidR="00AC4031" w:rsidRPr="00AC4031" w:rsidRDefault="00AC4031" w:rsidP="00AC4031">
      <w:pPr>
        <w:numPr>
          <w:ilvl w:val="0"/>
          <w:numId w:val="6"/>
        </w:numPr>
      </w:pPr>
      <w:r w:rsidRPr="00AC4031">
        <w:t>Average Monthly Appointment Attendance Status by NHS Region</w:t>
      </w:r>
    </w:p>
    <w:p w14:paraId="09EC17F9" w14:textId="77777777" w:rsidR="00AC4031" w:rsidRPr="00AC4031" w:rsidRDefault="00AC4031" w:rsidP="00AC4031">
      <w:r w:rsidRPr="00AC4031">
        <w:t>Rationale and benefits</w:t>
      </w:r>
    </w:p>
    <w:p w14:paraId="41606D65" w14:textId="77777777" w:rsidR="00AC4031" w:rsidRPr="00AC4031" w:rsidRDefault="00AC4031" w:rsidP="00AC4031">
      <w:pPr>
        <w:numPr>
          <w:ilvl w:val="0"/>
          <w:numId w:val="7"/>
        </w:numPr>
      </w:pPr>
      <w:r w:rsidRPr="00AC4031">
        <w:t>Heatmaps are effective for showing relative intensity across two dimensions (e.g. region × status) in a single view.</w:t>
      </w:r>
    </w:p>
    <w:p w14:paraId="2B518F8A" w14:textId="77777777" w:rsidR="00AC4031" w:rsidRPr="00AC4031" w:rsidRDefault="00AC4031" w:rsidP="00AC4031">
      <w:pPr>
        <w:numPr>
          <w:ilvl w:val="0"/>
          <w:numId w:val="7"/>
        </w:numPr>
      </w:pPr>
      <w:r w:rsidRPr="00AC4031">
        <w:t>Colour intensity allows stakeholders to instantly locate hotspots (high values) and cold spots (low values) without reading every number.</w:t>
      </w:r>
    </w:p>
    <w:p w14:paraId="72FC5E6C" w14:textId="77777777" w:rsidR="00AC4031" w:rsidRPr="00AC4031" w:rsidRDefault="00AC4031" w:rsidP="00AC4031">
      <w:pPr>
        <w:numPr>
          <w:ilvl w:val="0"/>
          <w:numId w:val="7"/>
        </w:numPr>
      </w:pPr>
      <w:r w:rsidRPr="00AC4031">
        <w:lastRenderedPageBreak/>
        <w:t>They are particularly useful where scales differ substantially (e.g. very large vs smaller regions); a bar chart would make smaller values visually insignificant, whereas a heatmap preserves relative patterns.</w:t>
      </w:r>
    </w:p>
    <w:p w14:paraId="35F3AF61" w14:textId="4B7D0F4F" w:rsidR="00AC4031" w:rsidRPr="00AC4031" w:rsidRDefault="00AC4031" w:rsidP="00AC4031">
      <w:pPr>
        <w:rPr>
          <w:b/>
          <w:bCs/>
        </w:rPr>
      </w:pPr>
      <w:r w:rsidRPr="00AC4031">
        <w:rPr>
          <w:b/>
          <w:bCs/>
        </w:rPr>
        <w:t>Stacked charts – profiling and composition</w:t>
      </w:r>
    </w:p>
    <w:p w14:paraId="609BFE78" w14:textId="2A8ADED2" w:rsidR="00AC4031" w:rsidRPr="00AC4031" w:rsidRDefault="00AC4031" w:rsidP="00AC4031">
      <w:r w:rsidRPr="00AC4031">
        <w:t xml:space="preserve">To profile how activity is composed within different </w:t>
      </w:r>
      <w:r w:rsidR="001035AA">
        <w:t>regions</w:t>
      </w:r>
      <w:r w:rsidRPr="00AC4031">
        <w:t>, I use stacked charts, for example:</w:t>
      </w:r>
    </w:p>
    <w:p w14:paraId="5B7E2074" w14:textId="77777777" w:rsidR="00AC4031" w:rsidRPr="00AC4031" w:rsidRDefault="00AC4031" w:rsidP="00AC4031">
      <w:pPr>
        <w:numPr>
          <w:ilvl w:val="0"/>
          <w:numId w:val="8"/>
        </w:numPr>
      </w:pPr>
      <w:r w:rsidRPr="00AC4031">
        <w:t>GP Activity Type Profiling</w:t>
      </w:r>
    </w:p>
    <w:p w14:paraId="10AFDA56" w14:textId="77777777" w:rsidR="00AC4031" w:rsidRPr="00AC4031" w:rsidRDefault="00AC4031" w:rsidP="00AC4031">
      <w:pPr>
        <w:numPr>
          <w:ilvl w:val="0"/>
          <w:numId w:val="8"/>
        </w:numPr>
      </w:pPr>
      <w:r w:rsidRPr="00AC4031">
        <w:t>Sub</w:t>
      </w:r>
      <w:r w:rsidRPr="00AC4031">
        <w:noBreakHyphen/>
        <w:t>ICB Hotspots per Region</w:t>
      </w:r>
    </w:p>
    <w:p w14:paraId="4557C0B3" w14:textId="77777777" w:rsidR="00AC4031" w:rsidRPr="00AC4031" w:rsidRDefault="00AC4031" w:rsidP="00AC4031">
      <w:r w:rsidRPr="00AC4031">
        <w:t>Rationale and benefits</w:t>
      </w:r>
    </w:p>
    <w:p w14:paraId="52887A5A" w14:textId="77777777" w:rsidR="00AC4031" w:rsidRPr="00AC4031" w:rsidRDefault="00AC4031" w:rsidP="00AC4031">
      <w:pPr>
        <w:numPr>
          <w:ilvl w:val="0"/>
          <w:numId w:val="9"/>
        </w:numPr>
      </w:pPr>
      <w:r w:rsidRPr="00AC4031">
        <w:t xml:space="preserve">Stacked charts clearly show both total volume and composition in one figure: </w:t>
      </w:r>
    </w:p>
    <w:p w14:paraId="58CABB0A" w14:textId="1D043075" w:rsidR="00AC4031" w:rsidRPr="00AC4031" w:rsidRDefault="00AC4031" w:rsidP="00AC4031">
      <w:pPr>
        <w:numPr>
          <w:ilvl w:val="1"/>
          <w:numId w:val="9"/>
        </w:numPr>
      </w:pPr>
      <w:r w:rsidRPr="00AC4031">
        <w:t xml:space="preserve">Total bar height shows overall </w:t>
      </w:r>
      <w:r w:rsidR="001035AA">
        <w:t xml:space="preserve">appointment volumes </w:t>
      </w:r>
    </w:p>
    <w:p w14:paraId="7476617F" w14:textId="1A1B0E2C" w:rsidR="00AC4031" w:rsidRPr="00AC4031" w:rsidRDefault="00AC4031" w:rsidP="00AC4031">
      <w:pPr>
        <w:numPr>
          <w:ilvl w:val="1"/>
          <w:numId w:val="9"/>
        </w:numPr>
      </w:pPr>
      <w:r w:rsidRPr="00AC4031">
        <w:t>The segments show how that total is split by activity type or sub</w:t>
      </w:r>
      <w:r w:rsidRPr="00AC4031">
        <w:noBreakHyphen/>
        <w:t>ICB</w:t>
      </w:r>
      <w:r w:rsidR="001035AA">
        <w:t xml:space="preserve"> locations</w:t>
      </w:r>
      <w:r w:rsidRPr="00AC4031">
        <w:t>.</w:t>
      </w:r>
    </w:p>
    <w:p w14:paraId="517E6FDA" w14:textId="240BD00B" w:rsidR="00AC4031" w:rsidRPr="00AC4031" w:rsidRDefault="00AC4031" w:rsidP="00187DDC">
      <w:pPr>
        <w:rPr>
          <w:b/>
          <w:bCs/>
        </w:rPr>
      </w:pPr>
      <w:r w:rsidRPr="00AC4031">
        <w:rPr>
          <w:b/>
          <w:bCs/>
        </w:rPr>
        <w:t>Boxplot – understanding the wait</w:t>
      </w:r>
      <w:r w:rsidRPr="00AC4031">
        <w:rPr>
          <w:b/>
          <w:bCs/>
        </w:rPr>
        <w:noBreakHyphen/>
        <w:t>time penalty and risk profile</w:t>
      </w:r>
    </w:p>
    <w:p w14:paraId="7A95EA04" w14:textId="77777777" w:rsidR="00AC4031" w:rsidRPr="00AC4031" w:rsidRDefault="00AC4031" w:rsidP="00AC4031">
      <w:r w:rsidRPr="00AC4031">
        <w:t>For the relationship between DNA rates and the lead time from booking to appointment, I use a boxplot:</w:t>
      </w:r>
    </w:p>
    <w:p w14:paraId="643F83E7" w14:textId="77777777" w:rsidR="00AC4031" w:rsidRPr="00AC4031" w:rsidRDefault="00AC4031" w:rsidP="00AC4031">
      <w:pPr>
        <w:numPr>
          <w:ilvl w:val="0"/>
          <w:numId w:val="10"/>
        </w:numPr>
      </w:pPr>
      <w:r w:rsidRPr="00AC4031">
        <w:t>Wait Time Penalty: DNA Rate vs Lead Time</w:t>
      </w:r>
    </w:p>
    <w:p w14:paraId="73B416D9" w14:textId="77777777" w:rsidR="00AC4031" w:rsidRPr="00AC4031" w:rsidRDefault="00AC4031" w:rsidP="00AC4031">
      <w:r w:rsidRPr="00AC4031">
        <w:t>Rationale and benefits</w:t>
      </w:r>
    </w:p>
    <w:p w14:paraId="5EDD6C2E" w14:textId="0CE63183" w:rsidR="00AC4031" w:rsidRPr="00AC4031" w:rsidRDefault="00AC4031" w:rsidP="00AC4031">
      <w:pPr>
        <w:numPr>
          <w:ilvl w:val="0"/>
          <w:numId w:val="11"/>
        </w:numPr>
      </w:pPr>
      <w:r w:rsidRPr="00AC4031">
        <w:t>Boxplots summarise the distribution of DNA rates across different lead</w:t>
      </w:r>
      <w:r w:rsidRPr="00AC4031">
        <w:noBreakHyphen/>
        <w:t>time bands.</w:t>
      </w:r>
    </w:p>
    <w:p w14:paraId="6A56AB07" w14:textId="38B5736A" w:rsidR="00AC4031" w:rsidRPr="00AC4031" w:rsidRDefault="00AC4031" w:rsidP="00F773E9">
      <w:pPr>
        <w:numPr>
          <w:ilvl w:val="0"/>
          <w:numId w:val="11"/>
        </w:numPr>
      </w:pPr>
      <w:r w:rsidRPr="00AC4031">
        <w:t>This allows stakeholders to see</w:t>
      </w:r>
      <w:r w:rsidR="00F773E9">
        <w:t xml:space="preserve"> w</w:t>
      </w:r>
      <w:r w:rsidRPr="00AC4031">
        <w:t>hether longer lead times are associated with higher DNA rates.</w:t>
      </w:r>
    </w:p>
    <w:p w14:paraId="36526E94" w14:textId="59FFF8FF" w:rsidR="00BA3ED4" w:rsidRDefault="00AC4031" w:rsidP="00187DDC">
      <w:pPr>
        <w:numPr>
          <w:ilvl w:val="0"/>
          <w:numId w:val="11"/>
        </w:numPr>
      </w:pPr>
      <w:r w:rsidRPr="00AC4031">
        <w:t>Compared with a simple scatter, the boxplot provides a clearer high</w:t>
      </w:r>
      <w:r w:rsidRPr="00AC4031">
        <w:noBreakHyphen/>
        <w:t>level summary that is easier for non</w:t>
      </w:r>
      <w:r w:rsidRPr="00AC4031">
        <w:noBreakHyphen/>
        <w:t>technical stakeholders to interpret.</w:t>
      </w:r>
    </w:p>
    <w:p w14:paraId="36B9EE6F" w14:textId="77777777" w:rsidR="00F773E9" w:rsidRDefault="009828CD">
      <w:pPr>
        <w:rPr>
          <w:u w:val="single"/>
        </w:rPr>
      </w:pPr>
      <w:r w:rsidRPr="00F773E9">
        <w:rPr>
          <w:b/>
          <w:bCs/>
          <w:u w:val="single"/>
        </w:rPr>
        <w:t>Patterns and predictions</w:t>
      </w:r>
    </w:p>
    <w:p w14:paraId="202612E5" w14:textId="183432C0" w:rsidR="00133F24" w:rsidRPr="00133F24" w:rsidRDefault="00133F24" w:rsidP="00133F24">
      <w:r w:rsidRPr="00133F24">
        <w:t xml:space="preserve">Analysis of regional demand and DNAs shows that London and the </w:t>
      </w:r>
      <w:proofErr w:type="gramStart"/>
      <w:r w:rsidRPr="00133F24">
        <w:t>North West</w:t>
      </w:r>
      <w:proofErr w:type="gramEnd"/>
      <w:r w:rsidRPr="00133F24">
        <w:t xml:space="preserve"> should be the </w:t>
      </w:r>
      <w:proofErr w:type="gramStart"/>
      <w:r w:rsidRPr="00133F24">
        <w:t>first priority</w:t>
      </w:r>
      <w:proofErr w:type="gramEnd"/>
      <w:r w:rsidRPr="00133F24">
        <w:t xml:space="preserve"> for additional capacity. Within these, Greater Manchester, Cheshire and Merseyside, </w:t>
      </w:r>
      <w:proofErr w:type="gramStart"/>
      <w:r w:rsidRPr="00133F24">
        <w:t>North East</w:t>
      </w:r>
      <w:proofErr w:type="gramEnd"/>
      <w:r w:rsidRPr="00133F24">
        <w:t xml:space="preserve"> London, </w:t>
      </w:r>
      <w:proofErr w:type="gramStart"/>
      <w:r w:rsidRPr="00133F24">
        <w:t>South East</w:t>
      </w:r>
      <w:proofErr w:type="gramEnd"/>
      <w:r w:rsidRPr="00133F24">
        <w:t xml:space="preserve"> London, and </w:t>
      </w:r>
      <w:proofErr w:type="gramStart"/>
      <w:r w:rsidRPr="00133F24">
        <w:t>North West</w:t>
      </w:r>
      <w:proofErr w:type="gramEnd"/>
      <w:r w:rsidRPr="00133F24">
        <w:t xml:space="preserve"> London ICBs carry a disproportionate share of missed appointments. Demand and DNA volumes also spike during the pre</w:t>
      </w:r>
      <w:r w:rsidRPr="00133F24">
        <w:noBreakHyphen/>
        <w:t xml:space="preserve">Christmas </w:t>
      </w:r>
      <w:r w:rsidR="00F119ED">
        <w:t xml:space="preserve">Rush </w:t>
      </w:r>
      <w:r w:rsidRPr="00133F24">
        <w:t>period, indicating a need for seasonal capacity buffers aligned with flu season.</w:t>
      </w:r>
    </w:p>
    <w:p w14:paraId="6FAF9E06" w14:textId="6E5E23B4" w:rsidR="00133F24" w:rsidRDefault="00133F24" w:rsidP="00133F24">
      <w:r w:rsidRPr="00133F24">
        <w:lastRenderedPageBreak/>
        <w:t>Using observed appointment durations (mean ≈ 14 minutes), a full</w:t>
      </w:r>
      <w:r w:rsidRPr="00133F24">
        <w:noBreakHyphen/>
        <w:t>time staff member (8</w:t>
      </w:r>
      <w:r w:rsidRPr="00133F24">
        <w:noBreakHyphen/>
        <w:t>hour day, 20</w:t>
      </w:r>
      <w:r w:rsidRPr="00133F24">
        <w:noBreakHyphen/>
        <w:t xml:space="preserve">day month) can deliver roughly 34 appointments per day or 680 per month. </w:t>
      </w:r>
    </w:p>
    <w:tbl>
      <w:tblPr>
        <w:tblpPr w:leftFromText="180" w:rightFromText="180" w:vertAnchor="page" w:horzAnchor="margin" w:tblpXSpec="center" w:tblpY="2596"/>
        <w:tblW w:w="8825" w:type="dxa"/>
        <w:tblCellMar>
          <w:left w:w="0" w:type="dxa"/>
          <w:right w:w="0" w:type="dxa"/>
        </w:tblCellMar>
        <w:tblLook w:val="0420" w:firstRow="1" w:lastRow="0" w:firstColumn="0" w:lastColumn="0" w:noHBand="0" w:noVBand="1"/>
      </w:tblPr>
      <w:tblGrid>
        <w:gridCol w:w="2294"/>
        <w:gridCol w:w="2177"/>
        <w:gridCol w:w="2177"/>
        <w:gridCol w:w="2177"/>
      </w:tblGrid>
      <w:tr w:rsidR="00F119ED" w:rsidRPr="00F119ED" w14:paraId="78868DF4" w14:textId="77777777" w:rsidTr="00F119ED">
        <w:trPr>
          <w:trHeight w:val="465"/>
        </w:trPr>
        <w:tc>
          <w:tcPr>
            <w:tcW w:w="2294"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hideMark/>
          </w:tcPr>
          <w:p w14:paraId="652CC2EB" w14:textId="77777777" w:rsidR="00F119ED" w:rsidRPr="00F119ED" w:rsidRDefault="00F119ED" w:rsidP="00F119ED">
            <w:pPr>
              <w:rPr>
                <w:sz w:val="20"/>
                <w:szCs w:val="20"/>
              </w:rPr>
            </w:pPr>
            <w:r w:rsidRPr="00F119ED">
              <w:rPr>
                <w:b/>
                <w:bCs/>
                <w:sz w:val="20"/>
                <w:szCs w:val="20"/>
              </w:rPr>
              <w:t xml:space="preserve">Region </w:t>
            </w:r>
          </w:p>
        </w:tc>
        <w:tc>
          <w:tcPr>
            <w:tcW w:w="2177"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hideMark/>
          </w:tcPr>
          <w:p w14:paraId="013E9C86" w14:textId="77777777" w:rsidR="00F119ED" w:rsidRPr="00F119ED" w:rsidRDefault="00F119ED" w:rsidP="00F119ED">
            <w:pPr>
              <w:rPr>
                <w:sz w:val="20"/>
                <w:szCs w:val="20"/>
              </w:rPr>
            </w:pPr>
            <w:proofErr w:type="spellStart"/>
            <w:r w:rsidRPr="00F119ED">
              <w:rPr>
                <w:b/>
                <w:bCs/>
                <w:sz w:val="20"/>
                <w:szCs w:val="20"/>
              </w:rPr>
              <w:t>Avg</w:t>
            </w:r>
            <w:proofErr w:type="spellEnd"/>
            <w:r w:rsidRPr="00F119ED">
              <w:rPr>
                <w:b/>
                <w:bCs/>
                <w:sz w:val="20"/>
                <w:szCs w:val="20"/>
              </w:rPr>
              <w:t xml:space="preserve"> Staff needed per month</w:t>
            </w:r>
          </w:p>
        </w:tc>
        <w:tc>
          <w:tcPr>
            <w:tcW w:w="2177"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hideMark/>
          </w:tcPr>
          <w:p w14:paraId="5A076A6A" w14:textId="77777777" w:rsidR="00F119ED" w:rsidRPr="00F119ED" w:rsidRDefault="00F119ED" w:rsidP="00F119ED">
            <w:pPr>
              <w:rPr>
                <w:sz w:val="20"/>
                <w:szCs w:val="20"/>
              </w:rPr>
            </w:pPr>
            <w:r w:rsidRPr="00F119ED">
              <w:rPr>
                <w:b/>
                <w:bCs/>
                <w:sz w:val="20"/>
                <w:szCs w:val="20"/>
              </w:rPr>
              <w:t>Max Staff needed for winter months</w:t>
            </w:r>
          </w:p>
        </w:tc>
        <w:tc>
          <w:tcPr>
            <w:tcW w:w="2177"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hideMark/>
          </w:tcPr>
          <w:p w14:paraId="698A4504" w14:textId="77777777" w:rsidR="00F119ED" w:rsidRPr="00F119ED" w:rsidRDefault="00F119ED" w:rsidP="00F119ED">
            <w:pPr>
              <w:rPr>
                <w:sz w:val="20"/>
                <w:szCs w:val="20"/>
              </w:rPr>
            </w:pPr>
            <w:r w:rsidRPr="00F119ED">
              <w:rPr>
                <w:b/>
                <w:bCs/>
                <w:sz w:val="20"/>
                <w:szCs w:val="20"/>
              </w:rPr>
              <w:t>Additional Staff %</w:t>
            </w:r>
          </w:p>
        </w:tc>
      </w:tr>
      <w:tr w:rsidR="00F119ED" w:rsidRPr="00F119ED" w14:paraId="2FD989A6" w14:textId="77777777" w:rsidTr="00F119ED">
        <w:trPr>
          <w:trHeight w:val="372"/>
        </w:trPr>
        <w:tc>
          <w:tcPr>
            <w:tcW w:w="2294"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vAlign w:val="center"/>
            <w:hideMark/>
          </w:tcPr>
          <w:p w14:paraId="5D00D23C" w14:textId="77777777" w:rsidR="00F119ED" w:rsidRPr="00F119ED" w:rsidRDefault="00F119ED" w:rsidP="00F119ED">
            <w:pPr>
              <w:rPr>
                <w:sz w:val="20"/>
                <w:szCs w:val="20"/>
              </w:rPr>
            </w:pPr>
            <w:r w:rsidRPr="00F119ED">
              <w:rPr>
                <w:sz w:val="20"/>
                <w:szCs w:val="20"/>
              </w:rPr>
              <w:t>Midlands</w:t>
            </w:r>
          </w:p>
        </w:tc>
        <w:tc>
          <w:tcPr>
            <w:tcW w:w="2177"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vAlign w:val="center"/>
            <w:hideMark/>
          </w:tcPr>
          <w:p w14:paraId="038E26BC" w14:textId="77777777" w:rsidR="00F119ED" w:rsidRPr="00F119ED" w:rsidRDefault="00F119ED" w:rsidP="00F119ED">
            <w:pPr>
              <w:rPr>
                <w:sz w:val="20"/>
                <w:szCs w:val="20"/>
              </w:rPr>
            </w:pPr>
            <w:r w:rsidRPr="00F119ED">
              <w:rPr>
                <w:sz w:val="20"/>
                <w:szCs w:val="20"/>
              </w:rPr>
              <w:t>7,181</w:t>
            </w:r>
          </w:p>
        </w:tc>
        <w:tc>
          <w:tcPr>
            <w:tcW w:w="2177"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vAlign w:val="center"/>
            <w:hideMark/>
          </w:tcPr>
          <w:p w14:paraId="7F70B317" w14:textId="77777777" w:rsidR="00F119ED" w:rsidRPr="00F119ED" w:rsidRDefault="00F119ED" w:rsidP="00F119ED">
            <w:pPr>
              <w:rPr>
                <w:sz w:val="20"/>
                <w:szCs w:val="20"/>
              </w:rPr>
            </w:pPr>
            <w:r w:rsidRPr="00F119ED">
              <w:rPr>
                <w:sz w:val="20"/>
                <w:szCs w:val="20"/>
              </w:rPr>
              <w:t>8,304</w:t>
            </w:r>
          </w:p>
        </w:tc>
        <w:tc>
          <w:tcPr>
            <w:tcW w:w="2177"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hideMark/>
          </w:tcPr>
          <w:p w14:paraId="21936D6C" w14:textId="77777777" w:rsidR="00F119ED" w:rsidRPr="00F119ED" w:rsidRDefault="00F119ED" w:rsidP="00F119ED">
            <w:pPr>
              <w:rPr>
                <w:sz w:val="20"/>
                <w:szCs w:val="20"/>
              </w:rPr>
            </w:pPr>
            <w:r w:rsidRPr="00F119ED">
              <w:rPr>
                <w:sz w:val="20"/>
                <w:szCs w:val="20"/>
              </w:rPr>
              <w:t>16%</w:t>
            </w:r>
          </w:p>
        </w:tc>
      </w:tr>
      <w:tr w:rsidR="00F119ED" w:rsidRPr="00F119ED" w14:paraId="469380D6" w14:textId="77777777" w:rsidTr="00F119ED">
        <w:trPr>
          <w:trHeight w:val="387"/>
        </w:trPr>
        <w:tc>
          <w:tcPr>
            <w:tcW w:w="2294"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vAlign w:val="center"/>
            <w:hideMark/>
          </w:tcPr>
          <w:p w14:paraId="47826EBC" w14:textId="77777777" w:rsidR="00F119ED" w:rsidRPr="00F119ED" w:rsidRDefault="00F119ED" w:rsidP="00F119ED">
            <w:pPr>
              <w:rPr>
                <w:sz w:val="20"/>
                <w:szCs w:val="20"/>
              </w:rPr>
            </w:pPr>
            <w:proofErr w:type="gramStart"/>
            <w:r w:rsidRPr="00F119ED">
              <w:rPr>
                <w:sz w:val="20"/>
                <w:szCs w:val="20"/>
              </w:rPr>
              <w:t>North East</w:t>
            </w:r>
            <w:proofErr w:type="gramEnd"/>
            <w:r w:rsidRPr="00F119ED">
              <w:rPr>
                <w:sz w:val="20"/>
                <w:szCs w:val="20"/>
              </w:rPr>
              <w:t xml:space="preserve"> and Yorkshire</w:t>
            </w:r>
          </w:p>
        </w:tc>
        <w:tc>
          <w:tcPr>
            <w:tcW w:w="2177"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vAlign w:val="center"/>
            <w:hideMark/>
          </w:tcPr>
          <w:p w14:paraId="71DEFC6F" w14:textId="77777777" w:rsidR="00F119ED" w:rsidRPr="00F119ED" w:rsidRDefault="00F119ED" w:rsidP="00F119ED">
            <w:pPr>
              <w:rPr>
                <w:sz w:val="20"/>
                <w:szCs w:val="20"/>
              </w:rPr>
            </w:pPr>
            <w:r w:rsidRPr="00F119ED">
              <w:rPr>
                <w:sz w:val="20"/>
                <w:szCs w:val="20"/>
              </w:rPr>
              <w:t>6,671</w:t>
            </w:r>
          </w:p>
        </w:tc>
        <w:tc>
          <w:tcPr>
            <w:tcW w:w="2177"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vAlign w:val="center"/>
            <w:hideMark/>
          </w:tcPr>
          <w:p w14:paraId="12871BDF" w14:textId="77777777" w:rsidR="00F119ED" w:rsidRPr="00F119ED" w:rsidRDefault="00F119ED" w:rsidP="00F119ED">
            <w:pPr>
              <w:rPr>
                <w:sz w:val="20"/>
                <w:szCs w:val="20"/>
              </w:rPr>
            </w:pPr>
            <w:r w:rsidRPr="00F119ED">
              <w:rPr>
                <w:sz w:val="20"/>
                <w:szCs w:val="20"/>
              </w:rPr>
              <w:t>7,658</w:t>
            </w:r>
          </w:p>
        </w:tc>
        <w:tc>
          <w:tcPr>
            <w:tcW w:w="2177"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hideMark/>
          </w:tcPr>
          <w:p w14:paraId="64450311" w14:textId="77777777" w:rsidR="00F119ED" w:rsidRPr="00F119ED" w:rsidRDefault="00F119ED" w:rsidP="00F119ED">
            <w:pPr>
              <w:rPr>
                <w:sz w:val="20"/>
                <w:szCs w:val="20"/>
              </w:rPr>
            </w:pPr>
            <w:r w:rsidRPr="00F119ED">
              <w:rPr>
                <w:sz w:val="20"/>
                <w:szCs w:val="20"/>
              </w:rPr>
              <w:t>15%</w:t>
            </w:r>
          </w:p>
        </w:tc>
      </w:tr>
      <w:tr w:rsidR="00F119ED" w:rsidRPr="00F119ED" w14:paraId="6CCFD5CE" w14:textId="77777777" w:rsidTr="00F119ED">
        <w:trPr>
          <w:trHeight w:val="372"/>
        </w:trPr>
        <w:tc>
          <w:tcPr>
            <w:tcW w:w="2294"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vAlign w:val="center"/>
            <w:hideMark/>
          </w:tcPr>
          <w:p w14:paraId="23C26D88" w14:textId="77777777" w:rsidR="00F119ED" w:rsidRPr="00F119ED" w:rsidRDefault="00F119ED" w:rsidP="00F119ED">
            <w:pPr>
              <w:rPr>
                <w:sz w:val="20"/>
                <w:szCs w:val="20"/>
              </w:rPr>
            </w:pPr>
            <w:r w:rsidRPr="00F119ED">
              <w:rPr>
                <w:sz w:val="20"/>
                <w:szCs w:val="20"/>
              </w:rPr>
              <w:t>London</w:t>
            </w:r>
          </w:p>
        </w:tc>
        <w:tc>
          <w:tcPr>
            <w:tcW w:w="2177"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vAlign w:val="center"/>
            <w:hideMark/>
          </w:tcPr>
          <w:p w14:paraId="74F0C16F" w14:textId="77777777" w:rsidR="00F119ED" w:rsidRPr="00F119ED" w:rsidRDefault="00F119ED" w:rsidP="00F119ED">
            <w:pPr>
              <w:rPr>
                <w:sz w:val="20"/>
                <w:szCs w:val="20"/>
              </w:rPr>
            </w:pPr>
            <w:r w:rsidRPr="00F119ED">
              <w:rPr>
                <w:sz w:val="20"/>
                <w:szCs w:val="20"/>
              </w:rPr>
              <w:t>5,420</w:t>
            </w:r>
          </w:p>
        </w:tc>
        <w:tc>
          <w:tcPr>
            <w:tcW w:w="2177"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vAlign w:val="center"/>
            <w:hideMark/>
          </w:tcPr>
          <w:p w14:paraId="5339C705" w14:textId="77777777" w:rsidR="00F119ED" w:rsidRPr="00F119ED" w:rsidRDefault="00F119ED" w:rsidP="00F119ED">
            <w:pPr>
              <w:rPr>
                <w:sz w:val="20"/>
                <w:szCs w:val="20"/>
              </w:rPr>
            </w:pPr>
            <w:r w:rsidRPr="00F119ED">
              <w:rPr>
                <w:sz w:val="20"/>
                <w:szCs w:val="20"/>
              </w:rPr>
              <w:t>6,092</w:t>
            </w:r>
          </w:p>
        </w:tc>
        <w:tc>
          <w:tcPr>
            <w:tcW w:w="2177"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hideMark/>
          </w:tcPr>
          <w:p w14:paraId="6A94E2DB" w14:textId="77777777" w:rsidR="00F119ED" w:rsidRPr="00F119ED" w:rsidRDefault="00F119ED" w:rsidP="00F119ED">
            <w:pPr>
              <w:rPr>
                <w:sz w:val="20"/>
                <w:szCs w:val="20"/>
              </w:rPr>
            </w:pPr>
            <w:r w:rsidRPr="00F119ED">
              <w:rPr>
                <w:sz w:val="20"/>
                <w:szCs w:val="20"/>
              </w:rPr>
              <w:t>12%</w:t>
            </w:r>
          </w:p>
        </w:tc>
      </w:tr>
      <w:tr w:rsidR="00F119ED" w:rsidRPr="00F119ED" w14:paraId="210E930A" w14:textId="77777777" w:rsidTr="00F119ED">
        <w:trPr>
          <w:trHeight w:val="372"/>
        </w:trPr>
        <w:tc>
          <w:tcPr>
            <w:tcW w:w="2294"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vAlign w:val="center"/>
            <w:hideMark/>
          </w:tcPr>
          <w:p w14:paraId="7C4A2F67" w14:textId="77777777" w:rsidR="00F119ED" w:rsidRPr="00F119ED" w:rsidRDefault="00F119ED" w:rsidP="00F119ED">
            <w:pPr>
              <w:rPr>
                <w:sz w:val="20"/>
                <w:szCs w:val="20"/>
              </w:rPr>
            </w:pPr>
            <w:proofErr w:type="gramStart"/>
            <w:r w:rsidRPr="00F119ED">
              <w:rPr>
                <w:sz w:val="20"/>
                <w:szCs w:val="20"/>
              </w:rPr>
              <w:t>South East</w:t>
            </w:r>
            <w:proofErr w:type="gramEnd"/>
          </w:p>
        </w:tc>
        <w:tc>
          <w:tcPr>
            <w:tcW w:w="2177"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vAlign w:val="center"/>
            <w:hideMark/>
          </w:tcPr>
          <w:p w14:paraId="45096E17" w14:textId="77777777" w:rsidR="00F119ED" w:rsidRPr="00F119ED" w:rsidRDefault="00F119ED" w:rsidP="00F119ED">
            <w:pPr>
              <w:rPr>
                <w:sz w:val="20"/>
                <w:szCs w:val="20"/>
              </w:rPr>
            </w:pPr>
            <w:r w:rsidRPr="00F119ED">
              <w:rPr>
                <w:sz w:val="20"/>
                <w:szCs w:val="20"/>
              </w:rPr>
              <w:t>5,037</w:t>
            </w:r>
          </w:p>
        </w:tc>
        <w:tc>
          <w:tcPr>
            <w:tcW w:w="2177"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vAlign w:val="center"/>
            <w:hideMark/>
          </w:tcPr>
          <w:p w14:paraId="15D142F2" w14:textId="77777777" w:rsidR="00F119ED" w:rsidRPr="00F119ED" w:rsidRDefault="00F119ED" w:rsidP="00F119ED">
            <w:pPr>
              <w:rPr>
                <w:sz w:val="20"/>
                <w:szCs w:val="20"/>
              </w:rPr>
            </w:pPr>
            <w:r w:rsidRPr="00F119ED">
              <w:rPr>
                <w:sz w:val="20"/>
                <w:szCs w:val="20"/>
              </w:rPr>
              <w:t>5,774</w:t>
            </w:r>
          </w:p>
        </w:tc>
        <w:tc>
          <w:tcPr>
            <w:tcW w:w="2177"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hideMark/>
          </w:tcPr>
          <w:p w14:paraId="1802088C" w14:textId="77777777" w:rsidR="00F119ED" w:rsidRPr="00F119ED" w:rsidRDefault="00F119ED" w:rsidP="00F119ED">
            <w:pPr>
              <w:rPr>
                <w:sz w:val="20"/>
                <w:szCs w:val="20"/>
              </w:rPr>
            </w:pPr>
            <w:r w:rsidRPr="00F119ED">
              <w:rPr>
                <w:sz w:val="20"/>
                <w:szCs w:val="20"/>
              </w:rPr>
              <w:t>15%</w:t>
            </w:r>
          </w:p>
        </w:tc>
      </w:tr>
      <w:tr w:rsidR="00F119ED" w:rsidRPr="00F119ED" w14:paraId="4124CABD" w14:textId="77777777" w:rsidTr="00F119ED">
        <w:trPr>
          <w:trHeight w:val="372"/>
        </w:trPr>
        <w:tc>
          <w:tcPr>
            <w:tcW w:w="2294"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vAlign w:val="center"/>
            <w:hideMark/>
          </w:tcPr>
          <w:p w14:paraId="472BB89B" w14:textId="77777777" w:rsidR="00F119ED" w:rsidRPr="00F119ED" w:rsidRDefault="00F119ED" w:rsidP="00F119ED">
            <w:pPr>
              <w:rPr>
                <w:sz w:val="20"/>
                <w:szCs w:val="20"/>
              </w:rPr>
            </w:pPr>
            <w:proofErr w:type="gramStart"/>
            <w:r w:rsidRPr="00F119ED">
              <w:rPr>
                <w:sz w:val="20"/>
                <w:szCs w:val="20"/>
              </w:rPr>
              <w:t>North West</w:t>
            </w:r>
            <w:proofErr w:type="gramEnd"/>
          </w:p>
        </w:tc>
        <w:tc>
          <w:tcPr>
            <w:tcW w:w="2177"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vAlign w:val="center"/>
            <w:hideMark/>
          </w:tcPr>
          <w:p w14:paraId="7355E135" w14:textId="77777777" w:rsidR="00F119ED" w:rsidRPr="00F119ED" w:rsidRDefault="00F119ED" w:rsidP="00F119ED">
            <w:pPr>
              <w:rPr>
                <w:sz w:val="20"/>
                <w:szCs w:val="20"/>
              </w:rPr>
            </w:pPr>
            <w:r w:rsidRPr="00F119ED">
              <w:rPr>
                <w:sz w:val="20"/>
                <w:szCs w:val="20"/>
              </w:rPr>
              <w:t>4,424</w:t>
            </w:r>
          </w:p>
        </w:tc>
        <w:tc>
          <w:tcPr>
            <w:tcW w:w="2177"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vAlign w:val="center"/>
            <w:hideMark/>
          </w:tcPr>
          <w:p w14:paraId="40AD925C" w14:textId="77777777" w:rsidR="00F119ED" w:rsidRPr="00F119ED" w:rsidRDefault="00F119ED" w:rsidP="00F119ED">
            <w:pPr>
              <w:rPr>
                <w:sz w:val="20"/>
                <w:szCs w:val="20"/>
              </w:rPr>
            </w:pPr>
            <w:r w:rsidRPr="00F119ED">
              <w:rPr>
                <w:sz w:val="20"/>
                <w:szCs w:val="20"/>
              </w:rPr>
              <w:t>5,103</w:t>
            </w:r>
          </w:p>
        </w:tc>
        <w:tc>
          <w:tcPr>
            <w:tcW w:w="2177"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hideMark/>
          </w:tcPr>
          <w:p w14:paraId="5DD4A0AC" w14:textId="77777777" w:rsidR="00F119ED" w:rsidRPr="00F119ED" w:rsidRDefault="00F119ED" w:rsidP="00F119ED">
            <w:pPr>
              <w:rPr>
                <w:sz w:val="20"/>
                <w:szCs w:val="20"/>
              </w:rPr>
            </w:pPr>
            <w:r w:rsidRPr="00F119ED">
              <w:rPr>
                <w:sz w:val="20"/>
                <w:szCs w:val="20"/>
              </w:rPr>
              <w:t>15%</w:t>
            </w:r>
          </w:p>
        </w:tc>
      </w:tr>
      <w:tr w:rsidR="00F119ED" w:rsidRPr="00F119ED" w14:paraId="448F49D7" w14:textId="77777777" w:rsidTr="00F119ED">
        <w:trPr>
          <w:trHeight w:val="426"/>
        </w:trPr>
        <w:tc>
          <w:tcPr>
            <w:tcW w:w="2294"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vAlign w:val="center"/>
            <w:hideMark/>
          </w:tcPr>
          <w:p w14:paraId="3B828FD9" w14:textId="77777777" w:rsidR="00F119ED" w:rsidRPr="00F119ED" w:rsidRDefault="00F119ED" w:rsidP="00F119ED">
            <w:pPr>
              <w:rPr>
                <w:sz w:val="20"/>
                <w:szCs w:val="20"/>
              </w:rPr>
            </w:pPr>
            <w:r w:rsidRPr="00F119ED">
              <w:rPr>
                <w:sz w:val="20"/>
                <w:szCs w:val="20"/>
              </w:rPr>
              <w:t>East of England</w:t>
            </w:r>
          </w:p>
        </w:tc>
        <w:tc>
          <w:tcPr>
            <w:tcW w:w="2177"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vAlign w:val="center"/>
            <w:hideMark/>
          </w:tcPr>
          <w:p w14:paraId="1AD553D9" w14:textId="77777777" w:rsidR="00F119ED" w:rsidRPr="00F119ED" w:rsidRDefault="00F119ED" w:rsidP="00F119ED">
            <w:pPr>
              <w:rPr>
                <w:sz w:val="20"/>
                <w:szCs w:val="20"/>
              </w:rPr>
            </w:pPr>
            <w:r w:rsidRPr="00F119ED">
              <w:rPr>
                <w:sz w:val="20"/>
                <w:szCs w:val="20"/>
              </w:rPr>
              <w:t>4,318</w:t>
            </w:r>
          </w:p>
        </w:tc>
        <w:tc>
          <w:tcPr>
            <w:tcW w:w="2177"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vAlign w:val="center"/>
            <w:hideMark/>
          </w:tcPr>
          <w:p w14:paraId="04FE6169" w14:textId="77777777" w:rsidR="00F119ED" w:rsidRPr="00F119ED" w:rsidRDefault="00F119ED" w:rsidP="00F119ED">
            <w:pPr>
              <w:rPr>
                <w:sz w:val="20"/>
                <w:szCs w:val="20"/>
              </w:rPr>
            </w:pPr>
            <w:r w:rsidRPr="00F119ED">
              <w:rPr>
                <w:sz w:val="20"/>
                <w:szCs w:val="20"/>
              </w:rPr>
              <w:t>5,003</w:t>
            </w:r>
          </w:p>
        </w:tc>
        <w:tc>
          <w:tcPr>
            <w:tcW w:w="2177"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hideMark/>
          </w:tcPr>
          <w:p w14:paraId="2DEBA7C0" w14:textId="77777777" w:rsidR="00F119ED" w:rsidRPr="00F119ED" w:rsidRDefault="00F119ED" w:rsidP="00F119ED">
            <w:pPr>
              <w:rPr>
                <w:sz w:val="20"/>
                <w:szCs w:val="20"/>
              </w:rPr>
            </w:pPr>
            <w:r w:rsidRPr="00F119ED">
              <w:rPr>
                <w:sz w:val="20"/>
                <w:szCs w:val="20"/>
              </w:rPr>
              <w:t>16%</w:t>
            </w:r>
          </w:p>
        </w:tc>
      </w:tr>
      <w:tr w:rsidR="00F119ED" w:rsidRPr="00F119ED" w14:paraId="466E49BC" w14:textId="77777777" w:rsidTr="00F119ED">
        <w:trPr>
          <w:trHeight w:val="372"/>
        </w:trPr>
        <w:tc>
          <w:tcPr>
            <w:tcW w:w="2294"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vAlign w:val="center"/>
            <w:hideMark/>
          </w:tcPr>
          <w:p w14:paraId="481095D2" w14:textId="77777777" w:rsidR="00F119ED" w:rsidRPr="00F119ED" w:rsidRDefault="00F119ED" w:rsidP="00F119ED">
            <w:pPr>
              <w:rPr>
                <w:sz w:val="20"/>
                <w:szCs w:val="20"/>
              </w:rPr>
            </w:pPr>
            <w:proofErr w:type="gramStart"/>
            <w:r w:rsidRPr="00F119ED">
              <w:rPr>
                <w:sz w:val="20"/>
                <w:szCs w:val="20"/>
              </w:rPr>
              <w:t>South West</w:t>
            </w:r>
            <w:proofErr w:type="gramEnd"/>
          </w:p>
        </w:tc>
        <w:tc>
          <w:tcPr>
            <w:tcW w:w="2177"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vAlign w:val="center"/>
            <w:hideMark/>
          </w:tcPr>
          <w:p w14:paraId="3F507587" w14:textId="77777777" w:rsidR="00F119ED" w:rsidRPr="00F119ED" w:rsidRDefault="00F119ED" w:rsidP="00F119ED">
            <w:pPr>
              <w:rPr>
                <w:sz w:val="20"/>
                <w:szCs w:val="20"/>
              </w:rPr>
            </w:pPr>
            <w:r w:rsidRPr="00F119ED">
              <w:rPr>
                <w:sz w:val="20"/>
                <w:szCs w:val="20"/>
              </w:rPr>
              <w:t>4,089</w:t>
            </w:r>
          </w:p>
        </w:tc>
        <w:tc>
          <w:tcPr>
            <w:tcW w:w="2177"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vAlign w:val="center"/>
            <w:hideMark/>
          </w:tcPr>
          <w:p w14:paraId="0CB98686" w14:textId="77777777" w:rsidR="00F119ED" w:rsidRPr="00F119ED" w:rsidRDefault="00F119ED" w:rsidP="00F119ED">
            <w:pPr>
              <w:rPr>
                <w:sz w:val="20"/>
                <w:szCs w:val="20"/>
              </w:rPr>
            </w:pPr>
            <w:r w:rsidRPr="00F119ED">
              <w:rPr>
                <w:sz w:val="20"/>
                <w:szCs w:val="20"/>
              </w:rPr>
              <w:t>4,751</w:t>
            </w:r>
          </w:p>
        </w:tc>
        <w:tc>
          <w:tcPr>
            <w:tcW w:w="2177" w:type="dxa"/>
            <w:tcBorders>
              <w:top w:val="single" w:sz="8" w:space="0" w:color="A6A6A6"/>
              <w:left w:val="single" w:sz="8" w:space="0" w:color="A6A6A6"/>
              <w:bottom w:val="single" w:sz="8" w:space="0" w:color="A6A6A6"/>
              <w:right w:val="single" w:sz="8" w:space="0" w:color="A6A6A6"/>
            </w:tcBorders>
            <w:tcMar>
              <w:top w:w="72" w:type="dxa"/>
              <w:left w:w="144" w:type="dxa"/>
              <w:bottom w:w="72" w:type="dxa"/>
              <w:right w:w="144" w:type="dxa"/>
            </w:tcMar>
            <w:hideMark/>
          </w:tcPr>
          <w:p w14:paraId="446A8B49" w14:textId="77777777" w:rsidR="00F119ED" w:rsidRPr="00F119ED" w:rsidRDefault="00F119ED" w:rsidP="00F119ED">
            <w:pPr>
              <w:rPr>
                <w:sz w:val="20"/>
                <w:szCs w:val="20"/>
              </w:rPr>
            </w:pPr>
            <w:r w:rsidRPr="00F119ED">
              <w:rPr>
                <w:sz w:val="20"/>
                <w:szCs w:val="20"/>
              </w:rPr>
              <w:t>16%</w:t>
            </w:r>
          </w:p>
        </w:tc>
      </w:tr>
    </w:tbl>
    <w:p w14:paraId="1944FCF6" w14:textId="77777777" w:rsidR="00F119ED" w:rsidRPr="00133F24" w:rsidRDefault="00F119ED" w:rsidP="00133F24"/>
    <w:p w14:paraId="20E6DA97" w14:textId="100F7F73" w:rsidR="00F119ED" w:rsidRDefault="00133F24" w:rsidP="00133F24">
      <w:r w:rsidRPr="00133F24">
        <w:t>Attendance patterns show that Face</w:t>
      </w:r>
      <w:r w:rsidRPr="00133F24">
        <w:noBreakHyphen/>
        <w:t>to</w:t>
      </w:r>
      <w:r w:rsidRPr="00133F24">
        <w:noBreakHyphen/>
        <w:t>Face and Telephone appointments account for 98% of activity, but Face</w:t>
      </w:r>
      <w:r w:rsidRPr="00133F24">
        <w:noBreakHyphen/>
        <w:t>to</w:t>
      </w:r>
      <w:r w:rsidRPr="00133F24">
        <w:noBreakHyphen/>
        <w:t>Face DNA rates (≈4%) are ~50× higher than Telephone (≈0.08%), while Home Visits and Video/Online have near</w:t>
      </w:r>
      <w:r w:rsidRPr="00133F24">
        <w:noBreakHyphen/>
        <w:t>perfect attendance (&lt;0.1%). DNAs increase sharply with lead time: median DNA rises from 1.8% for same</w:t>
      </w:r>
      <w:r w:rsidRPr="00133F24">
        <w:noBreakHyphen/>
        <w:t>day bookings to &gt;6% for 2–</w:t>
      </w:r>
      <w:proofErr w:type="gramStart"/>
      <w:r w:rsidRPr="00133F24">
        <w:t>7 day</w:t>
      </w:r>
      <w:proofErr w:type="gramEnd"/>
      <w:r w:rsidRPr="00133F24">
        <w:t xml:space="preserve"> waits.</w:t>
      </w:r>
    </w:p>
    <w:p w14:paraId="36F61B69" w14:textId="77777777" w:rsidR="00F119ED" w:rsidRPr="00133F24" w:rsidRDefault="00F119ED" w:rsidP="00133F24"/>
    <w:p w14:paraId="39F79BCC" w14:textId="77777777" w:rsidR="00133F24" w:rsidRPr="00133F24" w:rsidRDefault="00133F24" w:rsidP="00133F24">
      <w:r w:rsidRPr="00133F24">
        <w:t>Recommendations include:</w:t>
      </w:r>
    </w:p>
    <w:p w14:paraId="6B20B660" w14:textId="77777777" w:rsidR="00133F24" w:rsidRPr="00133F24" w:rsidRDefault="00133F24" w:rsidP="00133F24">
      <w:pPr>
        <w:numPr>
          <w:ilvl w:val="0"/>
          <w:numId w:val="13"/>
        </w:numPr>
      </w:pPr>
      <w:r w:rsidRPr="00133F24">
        <w:t>Smart reminders (SMS plus opt</w:t>
      </w:r>
      <w:r w:rsidRPr="00133F24">
        <w:noBreakHyphen/>
        <w:t>in confirmation 1–2 days before) to counter long</w:t>
      </w:r>
      <w:r w:rsidRPr="00133F24">
        <w:noBreakHyphen/>
        <w:t>lead DNAs.</w:t>
      </w:r>
    </w:p>
    <w:p w14:paraId="610175D6" w14:textId="77777777" w:rsidR="00133F24" w:rsidRPr="00133F24" w:rsidRDefault="00133F24" w:rsidP="00133F24">
      <w:pPr>
        <w:numPr>
          <w:ilvl w:val="0"/>
          <w:numId w:val="13"/>
        </w:numPr>
      </w:pPr>
      <w:r w:rsidRPr="00133F24">
        <w:t>Shifting routine/triage contacts to remote modes, preserving Face</w:t>
      </w:r>
      <w:r w:rsidRPr="00133F24">
        <w:noBreakHyphen/>
        <w:t>to</w:t>
      </w:r>
      <w:r w:rsidRPr="00133F24">
        <w:noBreakHyphen/>
        <w:t>Face capacity for complex cases.</w:t>
      </w:r>
    </w:p>
    <w:p w14:paraId="1012816A" w14:textId="77777777" w:rsidR="00133F24" w:rsidRPr="00133F24" w:rsidRDefault="00133F24" w:rsidP="00133F24">
      <w:pPr>
        <w:numPr>
          <w:ilvl w:val="0"/>
          <w:numId w:val="13"/>
        </w:numPr>
      </w:pPr>
      <w:r w:rsidRPr="00133F24">
        <w:t>Standardising data entry (especially “Unknown” fields) to improve future demand and capacity modelling.</w:t>
      </w:r>
    </w:p>
    <w:p w14:paraId="75A658FD" w14:textId="77777777" w:rsidR="00A55E99" w:rsidRDefault="00A55E99"/>
    <w:sectPr w:rsidR="00A55E9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A9B3E" w14:textId="77777777" w:rsidR="00F00293" w:rsidRDefault="00F00293" w:rsidP="006A7DF0">
      <w:pPr>
        <w:spacing w:after="0" w:line="240" w:lineRule="auto"/>
      </w:pPr>
      <w:r>
        <w:separator/>
      </w:r>
    </w:p>
  </w:endnote>
  <w:endnote w:type="continuationSeparator" w:id="0">
    <w:p w14:paraId="7460F447" w14:textId="77777777" w:rsidR="00F00293" w:rsidRDefault="00F00293" w:rsidP="006A7D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A7790" w14:textId="77777777" w:rsidR="00F00293" w:rsidRDefault="00F00293" w:rsidP="006A7DF0">
      <w:pPr>
        <w:spacing w:after="0" w:line="240" w:lineRule="auto"/>
      </w:pPr>
      <w:r>
        <w:separator/>
      </w:r>
    </w:p>
  </w:footnote>
  <w:footnote w:type="continuationSeparator" w:id="0">
    <w:p w14:paraId="08A84D12" w14:textId="77777777" w:rsidR="00F00293" w:rsidRDefault="00F00293" w:rsidP="006A7D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47B8"/>
    <w:multiLevelType w:val="multilevel"/>
    <w:tmpl w:val="55261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B2DDE"/>
    <w:multiLevelType w:val="hybridMultilevel"/>
    <w:tmpl w:val="D7CAED6E"/>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 w15:restartNumberingAfterBreak="0">
    <w:nsid w:val="16C409CE"/>
    <w:multiLevelType w:val="multilevel"/>
    <w:tmpl w:val="B09E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273C7"/>
    <w:multiLevelType w:val="multilevel"/>
    <w:tmpl w:val="FA2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565C7"/>
    <w:multiLevelType w:val="multilevel"/>
    <w:tmpl w:val="A2F6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AC62D5"/>
    <w:multiLevelType w:val="hybridMultilevel"/>
    <w:tmpl w:val="0FCE9190"/>
    <w:lvl w:ilvl="0" w:tplc="3C090011">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6" w15:restartNumberingAfterBreak="0">
    <w:nsid w:val="59210EAF"/>
    <w:multiLevelType w:val="multilevel"/>
    <w:tmpl w:val="E1202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061B70"/>
    <w:multiLevelType w:val="multilevel"/>
    <w:tmpl w:val="9BA4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C94AFB"/>
    <w:multiLevelType w:val="multilevel"/>
    <w:tmpl w:val="A9F6F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F54541"/>
    <w:multiLevelType w:val="hybridMultilevel"/>
    <w:tmpl w:val="258E2E66"/>
    <w:lvl w:ilvl="0" w:tplc="5688258E">
      <w:start w:val="1"/>
      <w:numFmt w:val="bullet"/>
      <w:lvlText w:val="-"/>
      <w:lvlJc w:val="left"/>
      <w:pPr>
        <w:ind w:left="720" w:hanging="360"/>
      </w:pPr>
      <w:rPr>
        <w:rFonts w:ascii="Aptos" w:eastAsiaTheme="minorEastAsia" w:hAnsi="Aptos" w:cstheme="minorBidi"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0" w15:restartNumberingAfterBreak="0">
    <w:nsid w:val="6C0960B3"/>
    <w:multiLevelType w:val="multilevel"/>
    <w:tmpl w:val="2012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4C2145"/>
    <w:multiLevelType w:val="multilevel"/>
    <w:tmpl w:val="1EE80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5135E5"/>
    <w:multiLevelType w:val="hybridMultilevel"/>
    <w:tmpl w:val="888E46EE"/>
    <w:lvl w:ilvl="0" w:tplc="86A278A6">
      <w:start w:val="1"/>
      <w:numFmt w:val="bullet"/>
      <w:lvlText w:val="•"/>
      <w:lvlJc w:val="left"/>
      <w:pPr>
        <w:tabs>
          <w:tab w:val="num" w:pos="720"/>
        </w:tabs>
        <w:ind w:left="720" w:hanging="360"/>
      </w:pPr>
      <w:rPr>
        <w:rFonts w:ascii="Arial" w:hAnsi="Arial" w:hint="default"/>
      </w:rPr>
    </w:lvl>
    <w:lvl w:ilvl="1" w:tplc="E0024A48">
      <w:numFmt w:val="bullet"/>
      <w:lvlText w:val="•"/>
      <w:lvlJc w:val="left"/>
      <w:pPr>
        <w:tabs>
          <w:tab w:val="num" w:pos="1440"/>
        </w:tabs>
        <w:ind w:left="1440" w:hanging="360"/>
      </w:pPr>
      <w:rPr>
        <w:rFonts w:ascii="Arial" w:hAnsi="Arial" w:hint="default"/>
      </w:rPr>
    </w:lvl>
    <w:lvl w:ilvl="2" w:tplc="2A78BF2E" w:tentative="1">
      <w:start w:val="1"/>
      <w:numFmt w:val="bullet"/>
      <w:lvlText w:val="•"/>
      <w:lvlJc w:val="left"/>
      <w:pPr>
        <w:tabs>
          <w:tab w:val="num" w:pos="2160"/>
        </w:tabs>
        <w:ind w:left="2160" w:hanging="360"/>
      </w:pPr>
      <w:rPr>
        <w:rFonts w:ascii="Arial" w:hAnsi="Arial" w:hint="default"/>
      </w:rPr>
    </w:lvl>
    <w:lvl w:ilvl="3" w:tplc="CD98DFE6" w:tentative="1">
      <w:start w:val="1"/>
      <w:numFmt w:val="bullet"/>
      <w:lvlText w:val="•"/>
      <w:lvlJc w:val="left"/>
      <w:pPr>
        <w:tabs>
          <w:tab w:val="num" w:pos="2880"/>
        </w:tabs>
        <w:ind w:left="2880" w:hanging="360"/>
      </w:pPr>
      <w:rPr>
        <w:rFonts w:ascii="Arial" w:hAnsi="Arial" w:hint="default"/>
      </w:rPr>
    </w:lvl>
    <w:lvl w:ilvl="4" w:tplc="2D36D39C" w:tentative="1">
      <w:start w:val="1"/>
      <w:numFmt w:val="bullet"/>
      <w:lvlText w:val="•"/>
      <w:lvlJc w:val="left"/>
      <w:pPr>
        <w:tabs>
          <w:tab w:val="num" w:pos="3600"/>
        </w:tabs>
        <w:ind w:left="3600" w:hanging="360"/>
      </w:pPr>
      <w:rPr>
        <w:rFonts w:ascii="Arial" w:hAnsi="Arial" w:hint="default"/>
      </w:rPr>
    </w:lvl>
    <w:lvl w:ilvl="5" w:tplc="8F16ABE8" w:tentative="1">
      <w:start w:val="1"/>
      <w:numFmt w:val="bullet"/>
      <w:lvlText w:val="•"/>
      <w:lvlJc w:val="left"/>
      <w:pPr>
        <w:tabs>
          <w:tab w:val="num" w:pos="4320"/>
        </w:tabs>
        <w:ind w:left="4320" w:hanging="360"/>
      </w:pPr>
      <w:rPr>
        <w:rFonts w:ascii="Arial" w:hAnsi="Arial" w:hint="default"/>
      </w:rPr>
    </w:lvl>
    <w:lvl w:ilvl="6" w:tplc="809A1384" w:tentative="1">
      <w:start w:val="1"/>
      <w:numFmt w:val="bullet"/>
      <w:lvlText w:val="•"/>
      <w:lvlJc w:val="left"/>
      <w:pPr>
        <w:tabs>
          <w:tab w:val="num" w:pos="5040"/>
        </w:tabs>
        <w:ind w:left="5040" w:hanging="360"/>
      </w:pPr>
      <w:rPr>
        <w:rFonts w:ascii="Arial" w:hAnsi="Arial" w:hint="default"/>
      </w:rPr>
    </w:lvl>
    <w:lvl w:ilvl="7" w:tplc="309E8598" w:tentative="1">
      <w:start w:val="1"/>
      <w:numFmt w:val="bullet"/>
      <w:lvlText w:val="•"/>
      <w:lvlJc w:val="left"/>
      <w:pPr>
        <w:tabs>
          <w:tab w:val="num" w:pos="5760"/>
        </w:tabs>
        <w:ind w:left="5760" w:hanging="360"/>
      </w:pPr>
      <w:rPr>
        <w:rFonts w:ascii="Arial" w:hAnsi="Arial" w:hint="default"/>
      </w:rPr>
    </w:lvl>
    <w:lvl w:ilvl="8" w:tplc="B0D68984" w:tentative="1">
      <w:start w:val="1"/>
      <w:numFmt w:val="bullet"/>
      <w:lvlText w:val="•"/>
      <w:lvlJc w:val="left"/>
      <w:pPr>
        <w:tabs>
          <w:tab w:val="num" w:pos="6480"/>
        </w:tabs>
        <w:ind w:left="6480" w:hanging="360"/>
      </w:pPr>
      <w:rPr>
        <w:rFonts w:ascii="Arial" w:hAnsi="Arial" w:hint="default"/>
      </w:rPr>
    </w:lvl>
  </w:abstractNum>
  <w:num w:numId="1" w16cid:durableId="344796301">
    <w:abstractNumId w:val="1"/>
  </w:num>
  <w:num w:numId="2" w16cid:durableId="2021811580">
    <w:abstractNumId w:val="5"/>
  </w:num>
  <w:num w:numId="3" w16cid:durableId="492721745">
    <w:abstractNumId w:val="9"/>
  </w:num>
  <w:num w:numId="4" w16cid:durableId="2121608127">
    <w:abstractNumId w:val="3"/>
  </w:num>
  <w:num w:numId="5" w16cid:durableId="524441327">
    <w:abstractNumId w:val="11"/>
  </w:num>
  <w:num w:numId="6" w16cid:durableId="993416924">
    <w:abstractNumId w:val="7"/>
  </w:num>
  <w:num w:numId="7" w16cid:durableId="397022647">
    <w:abstractNumId w:val="0"/>
  </w:num>
  <w:num w:numId="8" w16cid:durableId="35660747">
    <w:abstractNumId w:val="4"/>
  </w:num>
  <w:num w:numId="9" w16cid:durableId="1194461865">
    <w:abstractNumId w:val="6"/>
  </w:num>
  <w:num w:numId="10" w16cid:durableId="1816992668">
    <w:abstractNumId w:val="2"/>
  </w:num>
  <w:num w:numId="11" w16cid:durableId="798959966">
    <w:abstractNumId w:val="8"/>
  </w:num>
  <w:num w:numId="12" w16cid:durableId="357312622">
    <w:abstractNumId w:val="12"/>
  </w:num>
  <w:num w:numId="13" w16cid:durableId="12188556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8A0"/>
    <w:rsid w:val="00074034"/>
    <w:rsid w:val="000B429B"/>
    <w:rsid w:val="000C62E1"/>
    <w:rsid w:val="001035AA"/>
    <w:rsid w:val="00133F24"/>
    <w:rsid w:val="00164C19"/>
    <w:rsid w:val="00183EAA"/>
    <w:rsid w:val="00187DDC"/>
    <w:rsid w:val="00242904"/>
    <w:rsid w:val="002B5BD6"/>
    <w:rsid w:val="002D0CC8"/>
    <w:rsid w:val="00360D93"/>
    <w:rsid w:val="00374C97"/>
    <w:rsid w:val="003B7E2A"/>
    <w:rsid w:val="004F2202"/>
    <w:rsid w:val="00507E25"/>
    <w:rsid w:val="0054376A"/>
    <w:rsid w:val="005C2CFA"/>
    <w:rsid w:val="005E072D"/>
    <w:rsid w:val="00661844"/>
    <w:rsid w:val="00680F27"/>
    <w:rsid w:val="006A7DF0"/>
    <w:rsid w:val="0078230C"/>
    <w:rsid w:val="00793442"/>
    <w:rsid w:val="0079644A"/>
    <w:rsid w:val="007C4D13"/>
    <w:rsid w:val="007F6879"/>
    <w:rsid w:val="008278A0"/>
    <w:rsid w:val="008D1E47"/>
    <w:rsid w:val="009045A3"/>
    <w:rsid w:val="00904CE7"/>
    <w:rsid w:val="00961515"/>
    <w:rsid w:val="009828CD"/>
    <w:rsid w:val="009B4032"/>
    <w:rsid w:val="009D1F5E"/>
    <w:rsid w:val="009D4BB3"/>
    <w:rsid w:val="00A2619D"/>
    <w:rsid w:val="00A32061"/>
    <w:rsid w:val="00A3649D"/>
    <w:rsid w:val="00A55E99"/>
    <w:rsid w:val="00A848A4"/>
    <w:rsid w:val="00AC4031"/>
    <w:rsid w:val="00B15F44"/>
    <w:rsid w:val="00B33004"/>
    <w:rsid w:val="00B34406"/>
    <w:rsid w:val="00B75FD0"/>
    <w:rsid w:val="00BA3ED4"/>
    <w:rsid w:val="00BB61CC"/>
    <w:rsid w:val="00BC7A30"/>
    <w:rsid w:val="00C90F23"/>
    <w:rsid w:val="00C9129A"/>
    <w:rsid w:val="00C94554"/>
    <w:rsid w:val="00CC150B"/>
    <w:rsid w:val="00D0423F"/>
    <w:rsid w:val="00DC1DE1"/>
    <w:rsid w:val="00E86313"/>
    <w:rsid w:val="00E937DF"/>
    <w:rsid w:val="00E9731B"/>
    <w:rsid w:val="00EE1C7D"/>
    <w:rsid w:val="00F00293"/>
    <w:rsid w:val="00F119ED"/>
    <w:rsid w:val="00F405E9"/>
    <w:rsid w:val="00F4398F"/>
    <w:rsid w:val="00F773E9"/>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9D6936"/>
  <w15:chartTrackingRefBased/>
  <w15:docId w15:val="{541AD86E-CD02-4421-8ADD-D8EB62FC1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8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8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8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8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8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8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8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8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8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8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8A0"/>
    <w:rPr>
      <w:rFonts w:eastAsiaTheme="majorEastAsia" w:cstheme="majorBidi"/>
      <w:color w:val="272727" w:themeColor="text1" w:themeTint="D8"/>
    </w:rPr>
  </w:style>
  <w:style w:type="paragraph" w:styleId="Title">
    <w:name w:val="Title"/>
    <w:basedOn w:val="Normal"/>
    <w:next w:val="Normal"/>
    <w:link w:val="TitleChar"/>
    <w:uiPriority w:val="10"/>
    <w:qFormat/>
    <w:rsid w:val="00827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8A0"/>
    <w:pPr>
      <w:spacing w:before="160"/>
      <w:jc w:val="center"/>
    </w:pPr>
    <w:rPr>
      <w:i/>
      <w:iCs/>
      <w:color w:val="404040" w:themeColor="text1" w:themeTint="BF"/>
    </w:rPr>
  </w:style>
  <w:style w:type="character" w:customStyle="1" w:styleId="QuoteChar">
    <w:name w:val="Quote Char"/>
    <w:basedOn w:val="DefaultParagraphFont"/>
    <w:link w:val="Quote"/>
    <w:uiPriority w:val="29"/>
    <w:rsid w:val="008278A0"/>
    <w:rPr>
      <w:i/>
      <w:iCs/>
      <w:color w:val="404040" w:themeColor="text1" w:themeTint="BF"/>
    </w:rPr>
  </w:style>
  <w:style w:type="paragraph" w:styleId="ListParagraph">
    <w:name w:val="List Paragraph"/>
    <w:basedOn w:val="Normal"/>
    <w:uiPriority w:val="34"/>
    <w:qFormat/>
    <w:rsid w:val="008278A0"/>
    <w:pPr>
      <w:ind w:left="720"/>
      <w:contextualSpacing/>
    </w:pPr>
  </w:style>
  <w:style w:type="character" w:styleId="IntenseEmphasis">
    <w:name w:val="Intense Emphasis"/>
    <w:basedOn w:val="DefaultParagraphFont"/>
    <w:uiPriority w:val="21"/>
    <w:qFormat/>
    <w:rsid w:val="008278A0"/>
    <w:rPr>
      <w:i/>
      <w:iCs/>
      <w:color w:val="0F4761" w:themeColor="accent1" w:themeShade="BF"/>
    </w:rPr>
  </w:style>
  <w:style w:type="paragraph" w:styleId="IntenseQuote">
    <w:name w:val="Intense Quote"/>
    <w:basedOn w:val="Normal"/>
    <w:next w:val="Normal"/>
    <w:link w:val="IntenseQuoteChar"/>
    <w:uiPriority w:val="30"/>
    <w:qFormat/>
    <w:rsid w:val="00827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8A0"/>
    <w:rPr>
      <w:i/>
      <w:iCs/>
      <w:color w:val="0F4761" w:themeColor="accent1" w:themeShade="BF"/>
    </w:rPr>
  </w:style>
  <w:style w:type="character" w:styleId="IntenseReference">
    <w:name w:val="Intense Reference"/>
    <w:basedOn w:val="DefaultParagraphFont"/>
    <w:uiPriority w:val="32"/>
    <w:qFormat/>
    <w:rsid w:val="008278A0"/>
    <w:rPr>
      <w:b/>
      <w:bCs/>
      <w:smallCaps/>
      <w:color w:val="0F4761" w:themeColor="accent1" w:themeShade="BF"/>
      <w:spacing w:val="5"/>
    </w:rPr>
  </w:style>
  <w:style w:type="paragraph" w:styleId="Header">
    <w:name w:val="header"/>
    <w:basedOn w:val="Normal"/>
    <w:link w:val="HeaderChar"/>
    <w:uiPriority w:val="99"/>
    <w:unhideWhenUsed/>
    <w:rsid w:val="006A7D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7DF0"/>
  </w:style>
  <w:style w:type="paragraph" w:styleId="Footer">
    <w:name w:val="footer"/>
    <w:basedOn w:val="Normal"/>
    <w:link w:val="FooterChar"/>
    <w:uiPriority w:val="99"/>
    <w:unhideWhenUsed/>
    <w:rsid w:val="006A7D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7D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2847</TotalTime>
  <Pages>4</Pages>
  <Words>1031</Words>
  <Characters>6094</Characters>
  <Application>Microsoft Office Word</Application>
  <DocSecurity>0</DocSecurity>
  <Lines>108</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Pong, Alison X. -ND</dc:creator>
  <cp:keywords/>
  <dc:description/>
  <cp:lastModifiedBy>Pong, Alison X. -ND</cp:lastModifiedBy>
  <cp:revision>7</cp:revision>
  <dcterms:created xsi:type="dcterms:W3CDTF">2026-03-01T03:02:00Z</dcterms:created>
  <dcterms:modified xsi:type="dcterms:W3CDTF">2026-03-09T10:31:00Z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2026-03-01T03:32:22Z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a997a508-620b-4d48-ba9c-bda9318e58da</vt:lpwstr>
  </property>
  <property fmtid="{D5CDD505-2E9C-101B-9397-08002B2CF9AE}" pid="8" name="MSIP_Label_c62e0584-010f-4004-8a6a-d5c118c8b4bd_ContentBits">
    <vt:lpwstr>0</vt:lpwstr>
  </property>
  <property fmtid="{D5CDD505-2E9C-101B-9397-08002B2CF9AE}" pid="9" name="MSIP_Label_c62e0584-010f-4004-8a6a-d5c118c8b4bd_Tag">
    <vt:lpwstr>10, 3, 0, 1</vt:lpwstr>
  </property>
</Properties>
</file>