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8ncrve7mb6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initial-scale=1.0, viewport-fit=cover"&gt;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&lt;title&gt;Grootslang | Healthcare Operations Consulting&lt;/title&gt;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&lt;!-- Serif for headlines (Playfair Display) + clean sans for body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href="https://fonts.googleapis.com/css2?family=Inter:opsz,wght@14..32,300;400;500;600;700&amp;family=Playfair+Display:ital,wght@0,400;0,500;0,600;0,700;1,400&amp;display=swap"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color: #1A1A1A;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line-height: 1.5;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scroll-behavior: smooth;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max-width: 1280px;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padding: 0 40px;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 ----- SOLID BLACK NAVIGATION BAR (McKinsey style) -----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background: #0A0A0A;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padding: 18px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position: sticky;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z-index: 1000;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border-bottom: 1px solid #2A2A2A;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.nav-inner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font-size: 1.8rem;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letter-spacing: -0.5px;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color: #FFFFFF;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.nav-links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gap: 32px;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.nav-links a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color: #E6E6E6;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letter-spacing: 0.3px;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transition: color 0.2s;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.nav-links a:hover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color: #FFFFFF;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.btn-dark-outline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border: 1px solid #4A6A5E;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padding: 8px 20px;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border-radius: 30px;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color: #E6E6E6;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letter-spacing: 0.5px;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.btn-dark-outline:hover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background: #4A6A5E;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border-color: #4A6A5E;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/* ----- FULL-BLEED HERO WITH DARK BACKGROUND &amp; OVERLAY -----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background: linear-gradient(135deg, #0B1A18 0%, #142B26 100%);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background-image: url('https://placehold.co/2000x1000/1E3A34/2D6A5E?text=Healthcare+Ops');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background-size: cover;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background-position: center 30%;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height: 90vh;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min-height: 640px;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.hero::before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background: rgba(0, 0, 0, 0.52);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z-index: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.hero .container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.hero-eyebrow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font-size: 0.7rem;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letter-spacing: 3px;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color: #B8E1D4;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font-size: 4rem;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line-height: 1.2;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letter-spacing: -0.02em;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margin-bottom: 24px;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font-size: 1.2rem;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color: #E0E7E5;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max-width: 550px;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.btn-primary-dark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color: #0A0A0A;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padding: 14px 36px;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border-radius: 40px;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letter-spacing: 0.5px;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.btn-primary-dark:hover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background: #E0E0E0;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transform: translateY(-1px);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/* ----- FEATURED INSIGHTS SECTION WITH IMAGES, TITLES, DATES ----- 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.section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padding: 90px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.section-subhead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font-size: 0.7rem;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letter-spacing: 2.5px;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color: #3D6B5B;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font-size: 2.5rem;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color: #111;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margin-bottom: 16px;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.section-desc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max-width: 680px;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margin-bottom: 48px;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.insight-grid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gap: 40px;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.insight-card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border: 1px solid #EAEAEA;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transition: all 0.2s ease;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.insight-card:hover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box-shadow: 0 12px 28px rgba(0,0,0,0.08);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.insight-img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height: 200px;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background-size: cover;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background-position: center;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background-color: #EFF2F0;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align-items: flex-end;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justify-content: flex-start;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/* fallback gradient for images 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.img-fallback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background: linear-gradient(120deg, #BDD3C9, #E2EDE7);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font-size: 2rem;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.insight-content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padding: 28px 24px;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.insight-date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font-size: 0.7rem;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color: #3D6B5B;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.insight-card h3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font-size: 1.35rem;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color: #111;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.insight-card p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line-height: 1.5;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.card-link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color: #0A0A0A;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letter-spacing: 0.5px;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border-bottom: 1px solid #CCC;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/* stats / trust bar */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.stats-bar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background: #0A0A0A;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padding: 64px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.stats-grid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gap: 40px;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.stat-item h2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font-size: 2.6rem;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letter-spacing: -0.02em;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/* two column method 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.two-col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gap: 80px;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.two-col .text-block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.two-col .image-block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background: #F1F4F2;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height: 280px;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color: #3D6B5B;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border: 1px solid #E2E2E2;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/* dense multi-column footer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.footer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background: #0A0A0A;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color: #CCCCCC;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padding: 60px 0 40px;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border-top: 1px solid #222;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.footer-grid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gap: 48px;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margin-bottom: 48px;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.footer-col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min-width: 150px;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.footer-col h4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.footer-col a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color: #BBBBBB;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transition: color 0.2s;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.footer-col a:hover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.footer-bottom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padding-top: 32px;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border-top: 1px solid #222;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font-size: 0.7rem;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.cta-section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background: #F4F6F5;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padding: 80px 0;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.cta-section h2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font-size: 2rem;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.btn-cta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background: #0A0A0A;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padding: 14px 38px;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border-radius: 40px;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/* modal (contact &amp; forms) */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.modal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background: rgba(0,0,0,0.7);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z-index: 2000;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.modal-content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max-width: 480px;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width: 90%;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padding: 36px;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.close-modal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top: 16px;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right: 24px;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font-size: 28px;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.modal-content input, .modal-content select, .modal-content textarea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margin: 10px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font-family: 'Inter', sans-serif;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.modal-content button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background: #0A0A0A;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margin-top: 16px;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@media (max-width: 900px)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.container { padding: 0 24px;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.hero h1 { font-size: 2.6rem;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.nav-links { gap: 18px;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.insight-grid { flex-direction: column;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&lt;!-- solid black navigation --&gt;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&lt;nav class="navbar"&gt;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&lt;div class="container nav-inner"&gt;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&lt;div class="logo" onclick="window.location.reload()"&gt;Grootslang&lt;/div&gt;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&lt;div class="nav-links"&gt;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&lt;a onclick="openModal('approach')"&gt;Approach&lt;/a&gt;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&lt;a onclick="openModal('expertise')"&gt;Expertise&lt;/a&gt;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&lt;a onclick="openModal('insights')"&gt;Insights&lt;/a&gt;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&lt;a onclick="openModal('practices')"&gt;Practices&lt;/a&gt;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&lt;button class="btn-dark-outline" onclick="openModal('contact')"&gt;Contact&lt;/button&gt;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&lt;!-- full-bleed hero with dark overlay &amp; background image --&gt;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&lt;div class="hero-eyebrow"&gt;Healthcare Operations Excellence&lt;/div&gt;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&lt;h1&gt;Precision operations for independent practices&lt;/h1&gt;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&lt;p&gt;Grootslang delivers McKinsey-level rigor and Bain-grade strategy — built for small practices seeking margin expansion and scalable growth.&lt;/p&gt;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class="btn-primary-dark" onclick="openModal('schedule')"&gt;Schedule diagnostic →&lt;/button&gt;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&lt;!-- FEATURED INSIGHTS with images, titles, dates --&gt;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&lt;div class="section-subhead"&gt;Featured insights&lt;/div&gt;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&lt;div class="section-title"&gt;Perspectives on practice operations&lt;/div&gt;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&lt;div class="section-desc"&gt;Data-driven research and proven frameworks to help you reduce administrative waste and improve patient outcomes.&lt;/div&gt;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&lt;div class="insight-grid"&gt;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&lt;!-- Card 1 --&gt;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&lt;div class="insight-card"&gt;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&lt;div class="insight-img" style="background-image: url('https://placehold.co/600x400/D9E4DF/2C5A4E?text=Revenue+Leakage'); background-size: cover;"&gt;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&lt;div class="img-fallback" style="background: none;"&gt;&lt;/div&gt;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&lt;div class="insight-content"&gt;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&lt;div class="insight-date"&gt;March 10, 2025&lt;/div&gt;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&lt;h3&gt;The 120K leakage: Where small practices lose revenue&lt;/h3&gt;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&lt;p&gt;Analysis of 75 independent practices reveals top denial and coding gaps — and how to fix them in 90 days.&lt;/p&gt;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&lt;a class="card-link" onclick="openModal('insights')"&gt;Read more →&lt;/a&gt;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&lt;!-- Card 2 --&gt;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&lt;div class="insight-card"&gt;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&lt;div class="insight-img" style="background-image: url('https://placehold.co/600x400/E9EEDB/2D6A5E?text=Case+Study'); background-size: cover;"&gt;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&lt;div class="img-fallback" style="background: none;"&gt;&lt;/div&gt;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&lt;div class="insight-content"&gt;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&lt;div class="insight-date"&gt;February 22, 2025&lt;/div&gt;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&lt;h3&gt;How a 4-provider practice increased collections by 22 percent&lt;/h3&gt;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&lt;p&gt;Lean workflow redesign and scheduling optimization led to 340k annual revenue lift without adding staff.&lt;/p&gt;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&lt;a class="card-link" onclick="openModal('insights')"&gt;Explore case →&lt;/a&gt;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&lt;!-- Card 3 --&gt;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&lt;div class="insight-card"&gt;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&lt;div class="insight-img" style="background-image: url('https://placehold.co/600x400/CEDBD4/1C5C4B?text=AI+in+Ops'); background-size: cover;"&gt;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&lt;div class="img-fallback" style="background: none;"&gt;&lt;/div&gt;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&lt;div class="insight-content"&gt;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&lt;div class="insight-date"&gt;April 2, 2025&lt;/div&gt;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&lt;h3&gt;AI in practice ops: What actually works&lt;/h3&gt;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&lt;p&gt;Separating hype from real-world ROI in prior auth automation and patient scheduling – new research.&lt;/p&gt;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&lt;a class="card-link" onclick="openModal('insights')"&gt;Register →&lt;/a&gt;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&lt;!-- Stats / trust indicators --&gt;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&lt;div class="stats-bar"&gt;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&lt;div class="container stats-grid"&gt;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&lt;div class="stat-item"&gt;&lt;h2&gt;32 percent&lt;/h2&gt;&lt;p&gt;Reduction in A/R days&lt;/p&gt;&lt;/div&gt;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&lt;div class="stat-item"&gt;&lt;h2&gt;187k&lt;/h2&gt;&lt;p&gt;Average first-year savings&lt;/p&gt;&lt;/div&gt;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&lt;div class="stat-item"&gt;&lt;h2&gt;5.2x&lt;/h2&gt;&lt;p&gt;ROI within 18 months&lt;/p&gt;&lt;/div&gt;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&lt;div class="stat-item"&gt;&lt;h2&gt;150+&lt;/h2&gt;&lt;p&gt;Practices supported&lt;/p&gt;&lt;/div&gt;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&lt;!-- two column differentiators --&gt;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&lt;div class="container two-col"&gt;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&lt;div class="text-block"&gt;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&lt;div class="section-subhead"&gt;Why Grootslang&lt;/div&gt;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&lt;div class="section-title"&gt;Strategy firm precision, boutique partnership&lt;/div&gt;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&lt;p style="margin-bottom: 24px; color: #3E3E3E;"&gt;We combine high-level strategy with hands-on execution — no legacy overhead, no junior-only teams. Our frameworks are adapted from top-tier consulting but built for independent practices.&lt;/p&gt;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&lt;ul style="list-style: none; margin-top: 20px;"&gt;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&lt;li style="margin-bottom: 12px;"&gt;✓ Former healthcare operators and ex-MBB consultants&lt;/li&gt;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&lt;li style="margin-bottom: 12px;"&gt;✓ Flat-rate engagement models — no hourly traps&lt;/li&gt;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&lt;li style="margin-bottom: 12px;"&gt;✓ Implementation sprints (8–12 weeks to visible results)&lt;/li&gt;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&lt;li&gt;✓ HIPAA and SOC2 operational frameworks built-in&lt;/li&gt;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class="btn-primary-dark" style="background:#0A0A0A; color:white; margin-top: 32px;" onclick="openModal('consult')"&gt;Request consultation →&lt;/button&gt;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&lt;div class="image-block"&gt;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Practice Ops Maturity Framework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&lt;!-- core capabilities --&gt;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&lt;section class="section" style="padding-top: 0;"&gt;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&lt;div class="section-subhead"&gt;Core capabilities&lt;/div&gt;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&lt;div class="section-title"&gt;Tailored operational solutions&lt;/div&gt;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&lt;div class="insight-grid"&gt;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&lt;div class="insight-card"&gt;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&lt;div class="insight-content"&gt;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&lt;div class="insight-date"&gt;Revenue cycle&lt;/div&gt;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&lt;h3&gt;RCM overhaul&lt;/h3&gt;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&lt;p&gt;Denial management, coding compliance, payer contract optimization — increase net collection rate by 12–18 percent.&lt;/p&gt;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&lt;div class="insight-card"&gt;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&lt;div class="insight-content"&gt;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&lt;div class="insight-date"&gt;Clinical flow&lt;/div&gt;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&lt;h3&gt;Efficiency redesign&lt;/h3&gt;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&lt;p&gt;Reduce patient throughput time, improve MA-to-provider ratios, and optimize room turnover protocols.&lt;/p&gt;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&lt;div class="insight-card"&gt;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&lt;div class="insight-content"&gt;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&lt;div class="insight-date"&gt;Growth ops&lt;/div&gt;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&lt;h3&gt;Strategic scaling&lt;/h3&gt;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&lt;p&gt;New patient acquisition modeling, scheduling capacity planning, and referral partner integration.&lt;/p&gt;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&lt;!-- CTA banner --&gt;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&lt;section class="cta-section"&gt;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&lt;h2&gt;Ready to build a more resilient practice?&lt;/h2&gt;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&lt;p style="color: #4F5A55; max-width: 550px; margin: 0 auto;"&gt;Join 150+ independent practices that have transformed operations with Grootslang. Start with a zero-commitment diagnostic review.&lt;/p&gt;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class="btn-cta" onclick="openModal('consult')"&gt;Request consultation →&lt;/button&gt;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&lt;!-- DENSE MULTI-COLUMN FOOTER (McKinsey style) --&gt;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&lt;footer class="footer"&gt;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&lt;div class="footer-grid"&gt;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&lt;div class="footer-col"&gt;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&lt;h4&gt;Grootslang&lt;/h4&gt;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&lt;a onclick="openModal('approach')"&gt;Approach&lt;/a&gt;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&lt;a onclick="openModal('expertise')"&gt;Expertise&lt;/a&gt;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&lt;a onclick="openModal('insights')"&gt;Insights&lt;/a&gt;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&lt;a onclick="openModal('practices')"&gt;Practices&lt;/a&gt;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&lt;div class="footer-col"&gt;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&lt;h4&gt;Connect&lt;/h4&gt;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&lt;a onclick="openModal('contact')"&gt;Contact us&lt;/a&gt;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&lt;a onclick="openModal('schedule')"&gt;Schedule diagnostic&lt;/a&gt;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&lt;a onclick="openModal('consult')"&gt;Request consultation&lt;/a&gt;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&lt;a href="#"&gt;Careers&lt;/a&gt;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&lt;div class="footer-col"&gt;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&lt;h4&gt;Locations&lt;/h4&gt;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&lt;a href="#"&gt;New York&lt;/a&gt;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&lt;a href="#"&gt;Chicago&lt;/a&gt;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&lt;a href="#"&gt;San Francisco&lt;/a&gt;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&lt;a href="#"&gt;Boston&lt;/a&gt;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&lt;div class="footer-col"&gt;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&lt;h4&gt;Legal&lt;/h4&gt;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&lt;a href="#"&gt;Privacy policy&lt;/a&gt;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&lt;a href="#"&gt;Terms of use&lt;/a&gt;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&lt;a href="#"&gt;Accessibility&lt;/a&gt;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&lt;div class="footer-bottom"&gt;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© 2025 Grootslang Healthcare Operations — Data-driven, human-centered excellence. All rights reserved.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&lt;!-- modal for all interactions --&gt;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&lt;div id="globalModal" class="modal"&gt;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&lt;div class="modal-content"&gt;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&lt;span class="close-modal" onclick="closeModal()"&gt;&amp;times;&lt;/span&gt;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&lt;div id="modalDynamicBody"&gt;&lt;/div&gt;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function openModal(type)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const modal = document.getElementById('globalModal');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const modalBody = document.getElementById('modalDynamicBody');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const contentMap =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approach: `&lt;h2&gt;Our approach&lt;/h2&gt;&lt;p&gt;Grootslang follows a proven 3-phase methodology adapted from top-tier strategy firms:&lt;/p&gt;&lt;ul style="margin-top: 16px; margin-left: 20px;"&gt;&lt;li&gt;&lt;strong&gt;Diagnostic and benchmarks&lt;/strong&gt; — 72-hour operational audit&lt;/li&gt;&lt;li&gt;&lt;strong&gt;Lean redesign&lt;/strong&gt; — co-create workflows, deploy tools&lt;/li&gt;&lt;li&gt;&lt;strong&gt;Sustain and scale&lt;/strong&gt; — dashboards, SOPs, monthly reviews&lt;/li&gt;&lt;/ul&gt;&lt;p style="margin-top: 20px;"&gt;Every engagement is tailored to your practice size and specialty.&lt;/p&gt;`,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expertise: `&lt;h2&gt;Expertise&lt;/h2&gt;&lt;p&gt;We deliver deep operational excellence across:&lt;br&gt;✔ Revenue Cycle Management and Denial Prevention&lt;br&gt;✔ Clinical Workflow Optimization&lt;br&gt;✔ Patient Scheduling and No-Show Reduction&lt;br&gt;✔ Payer Contract Analysis&lt;br&gt;✔ Data Analytics and Dashboards&lt;br&gt;✔ Change Management and Training&lt;/p&gt;`,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insights: `&lt;h2&gt;Insights and research&lt;/h2&gt;&lt;p&gt;&lt;strong&gt;Whitepaper:&lt;/strong&gt; "The 120K Leak: Revenue Leakage in Small Practices" (March 2025)&lt;br&gt;&lt;strong&gt;Webinar:&lt;/strong&gt; "AI in Practice Ops: What Actually Works" (April 15)&lt;br&gt;&lt;strong&gt;Case study:&lt;/strong&gt; 22 percent collections increase in 90 days&lt;br&gt;&lt;strong&gt;Podcast:&lt;/strong&gt; "The Ops Rx" — weekly practice insights&lt;/p&gt;&lt;p&gt;&lt;a href="#" style="color:#3D6B5B;"&gt;Subscribe to newsletter →&lt;/a&gt;&lt;/p&gt;`,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practices: `&lt;h2&gt;Practices we serve&lt;/h2&gt;&lt;p&gt;Grootslang partners with independent practices across specialties:&lt;/p&gt;&lt;ul&gt;&lt;li&gt;Primary Care and Family Medicine&lt;/li&gt;&lt;li&gt;Cardiology and Specialty Care&lt;/li&gt;&lt;li&gt;Dental and Oral Surgery&lt;/li&gt;&lt;li&gt;Behavioral Health&lt;/li&gt;&lt;li&gt;Physical Therapy and Rehab&lt;/li&gt;&lt;li&gt;Ophthalmology&lt;/li&gt;&lt;/ul&gt;&lt;p&gt;Practice size: 2–25 providers.&lt;/p&gt;`,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contact: `&lt;h2&gt;Contact Grootslang&lt;/h2&gt;&lt;form id="contactModalForm"&gt;&lt;input type="text" placeholder="Full name" required&gt;&lt;input type="email" placeholder="Email" required&gt;&lt;input type="tel" placeholder="Phone"&gt;&lt;textarea rows="2" placeholder="Message"&gt;&lt;/textarea&gt;&lt;button type="submit"&gt;Send message →&lt;/button&gt;&lt;/form&gt;&lt;p style="margin-top: 16px;"&gt;Email: alisoro@icloud.com  |  Phone: +1 (973) 980-6342&lt;/p&gt;`,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schedule: `&lt;h2&gt;Schedule a diagnostic&lt;/h2&gt;&lt;p&gt;30-min no-obligation operational review.&lt;/p&gt;&lt;form id="scheduleForm"&gt;&lt;input type="text" placeholder="Full name" required&gt;&lt;input type="email" placeholder="Email" required&gt;&lt;input type="tel" placeholder="Phone" required&gt;&lt;select&gt;&lt;option&gt;Practice size&lt;/option&gt;&lt;option&gt;Solo&lt;/option&gt;&lt;option&gt;2-5 providers&lt;/option&gt;&lt;option&gt;6-15 providers&lt;/option&gt;&lt;/select&gt;&lt;button type="submit"&gt;Request call →&lt;/button&gt;&lt;/form&gt;`,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consult: `&lt;h2&gt;Request consultation&lt;/h2&gt;&lt;p&gt;Tell us about your practice’s challenges.&lt;/p&gt;&lt;form id="consultForm"&gt;&lt;input type="text" placeholder="Full name" required&gt;&lt;input type="email" placeholder="Email" required&gt;&lt;textarea rows="2" placeholder="Biggest operational challenge?"&gt;&lt;/textarea&gt;&lt;button type="submit"&gt;Submit →&lt;/button&gt;&lt;/form&gt;`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modalBody.innerHTML = contentMap[type] || `&lt;h2&gt;Grootslang&lt;/h2&gt;&lt;p&gt;Please reach out for more information.&lt;/p&gt;`;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modal.style.display = 'flex';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const form = modalBody.querySelector('form');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if (form)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form.onsubmit = function(e)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alert('Thank you. A Grootslang team member will reply within 24 hours.');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closeModal();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function closeModal()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document.getElementById('globalModal').style.display = 'none';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window.onclick = function(event)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const modal = document.getElementById('globalModal');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if (event.target === modal) closeModal();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