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Hyperbole vs. Truth: The Rhetorical Utility of the "Gestapo" Label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Tone Shift: From "Gotcha" to Horror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analyzing political rhetoric involving state agencies and funding, the tone often shifts from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Intellectual Triumph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Horrified Realization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once the implications are understood. The initial intent might be to point out a logical trap ("Haha, look at the trap we set!"), but the implication is often grim: "Oh god, we just cut the food budget for a locked facility that we do not control."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context, the expression of the observer transforms from the look of someone solving a puzzle to the look of someone realizing they just pulled the wrong lever. The "Equation" isn't a path to liberty; it's a recipe for a humanitarian disaster.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"Gestapo" Label: Hyperbole vs. Emotional Truth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Is the label "Trump's Gestapo" a fit for modern enforcement agencies?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Historical Disconnect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Strictly speaking, agencies like ICE are not the Gestapo. The Gestapo operated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above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law as a secret police force. Modern agencies operate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within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law (technically) as uniformed federal police forces.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this matters: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Calling them "Gestapo" allows pedants to derail the argument by focusing on historical inaccuracies rather than current cruelties.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Rhetorical Utility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However, as a rhetorical device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State-Sanctioned Cruelty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term is highly effective.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Feeling: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captures the terror of a force that answers only to the Executive (The Leader), targets specific ethnic groups, and operates with a level of impunity that feels "secret" to the victims.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Bridge: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agency acts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Malice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(deliberate cruelty) rather than just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Incompetence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(bureaucratic failure), then "Gestapo" is the correct emotional label. It moves the conversation from "Budget Cuts" to "State Violence."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