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ANALYSIS: The Big Four's Big Bet: Why Your Rent Pays for Their Risk</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b w:val="1"/>
          <w:bCs w:val="1"/>
          <w:color w:val="1f1f1f"/>
          <w:rtl w:val="0"/>
        </w:rPr>
        <w:t xml:space="preserve">By Alethekanon</w:t>
      </w:r>
      <w:r w:rsidDel="00000000" w:rsidR="00000000" w:rsidRPr="00000000">
        <w:rPr>
          <w:rFonts w:ascii="Google Sans Text" w:cs="Google Sans Text" w:eastAsia="Google Sans Text" w:hAnsi="Google Sans Text"/>
          <w:color w:val="1f1f1f"/>
          <w:rtl w:val="0"/>
        </w:rPr>
        <w:t xml:space="preserve"> | </w:t>
      </w:r>
      <w:r w:rsidDel="00000000" w:rsidR="00000000" w:rsidRPr="00000000">
        <w:rPr>
          <w:rFonts w:ascii="Google Sans Text" w:cs="Google Sans Text" w:eastAsia="Google Sans Text" w:hAnsi="Google Sans Text"/>
          <w:i w:val="1"/>
          <w:iCs w:val="1"/>
          <w:color w:val="1f1f1f"/>
          <w:rtl w:val="0"/>
        </w:rPr>
        <w:t xml:space="preserve">Finance &amp; Strategy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SYDNEY</w:t>
      </w:r>
      <w:r w:rsidDel="00000000" w:rsidR="00000000" w:rsidRPr="00000000">
        <w:rPr>
          <w:rFonts w:ascii="Google Sans Text" w:cs="Google Sans Text" w:eastAsia="Google Sans Text" w:hAnsi="Google Sans Text"/>
          <w:color w:val="1f1f1f"/>
          <w:rtl w:val="0"/>
        </w:rPr>
        <w:t xml:space="preserve"> — In the theatre of Australian politics, the housing crisis is a play with many actors. We have the greedy landlord, the desperate renter, the helpless politician, and the unwanted immigrant.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But if you look behind the curtain, you will see the director of the play sitting quietly in the dark. He isn't saying a word, yet every line is written for his benefit.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That director is the </w:t>
      </w:r>
      <w:r w:rsidDel="00000000" w:rsidR="00000000" w:rsidRPr="00000000">
        <w:rPr>
          <w:rFonts w:ascii="Google Sans Text" w:cs="Google Sans Text" w:eastAsia="Google Sans Text" w:hAnsi="Google Sans Text"/>
          <w:b w:val="1"/>
          <w:bCs w:val="1"/>
          <w:color w:val="1f1f1f"/>
          <w:rtl w:val="0"/>
        </w:rPr>
        <w:t xml:space="preserve">Banking Sector</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color w:val="1f1f1f"/>
          <w:rtl w:val="0"/>
        </w:rPr>
        <w:t xml:space="preserve">To understand why the Australian government refuses to let house prices fall—even at the cost of social cohesion—you must first understand that Australian banks are not really "banks" in the traditional diversified sense. </w:t>
      </w:r>
      <w:r w:rsidDel="00000000" w:rsidR="00000000" w:rsidRPr="00000000">
        <w:rPr>
          <w:rFonts w:ascii="Google Sans Text" w:cs="Google Sans Text" w:eastAsia="Google Sans Text" w:hAnsi="Google Sans Text"/>
          <w:b w:val="1"/>
          <w:bCs w:val="1"/>
          <w:color w:val="1f1f1f"/>
          <w:rtl w:val="0"/>
        </w:rPr>
        <w:t xml:space="preserve">Functionally, they act as giant hedge funds that have bet the entire national economy on a single asset class: Residential Real Estate.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"Hedge Fund" Reality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a healthy economy, banks lend to businesses to buy machines, hire workers, and create productivity. In Australia, that model is dead.</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According to the latest </w:t>
      </w:r>
      <w:r w:rsidDel="00000000" w:rsidR="00000000" w:rsidRPr="00000000">
        <w:rPr>
          <w:rFonts w:ascii="Google Sans Text" w:cs="Google Sans Text" w:eastAsia="Google Sans Text" w:hAnsi="Google Sans Text"/>
          <w:b w:val="1"/>
          <w:bCs w:val="1"/>
          <w:color w:val="1f1f1f"/>
          <w:rtl w:val="0"/>
        </w:rPr>
        <w:t xml:space="preserve">Westpac 2024 Financial Results</w:t>
      </w:r>
      <w:r w:rsidDel="00000000" w:rsidR="00000000" w:rsidRPr="00000000">
        <w:rPr>
          <w:rFonts w:ascii="Google Sans Text" w:cs="Google Sans Text" w:eastAsia="Google Sans Text" w:hAnsi="Google Sans Text"/>
          <w:color w:val="1f1f1f"/>
          <w:rtl w:val="0"/>
        </w:rPr>
        <w:t xml:space="preserve">, the bank's exposure to housing is even higher than commonly cited. Of its $725.6 billion loan book, </w:t>
      </w:r>
      <w:r w:rsidDel="00000000" w:rsidR="00000000" w:rsidRPr="00000000">
        <w:rPr>
          <w:rFonts w:ascii="Google Sans Text" w:cs="Google Sans Text" w:eastAsia="Google Sans Text" w:hAnsi="Google Sans Text"/>
          <w:b w:val="1"/>
          <w:bCs w:val="1"/>
          <w:color w:val="1f1f1f"/>
          <w:rtl w:val="0"/>
        </w:rPr>
        <w:t xml:space="preserve">$496.5 billion (68.4%)</w:t>
      </w:r>
      <w:r w:rsidDel="00000000" w:rsidR="00000000" w:rsidRPr="00000000">
        <w:rPr>
          <w:rFonts w:ascii="Google Sans Text" w:cs="Google Sans Text" w:eastAsia="Google Sans Text" w:hAnsi="Google Sans Text"/>
          <w:color w:val="1f1f1f"/>
          <w:rtl w:val="0"/>
        </w:rPr>
        <w:t xml:space="preserve"> is tied up in residential mortgages.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is not a diversified bank; it is a monoline mortgage lender with a side hustle in business banking. The </w:t>
      </w:r>
      <w:hyperlink r:id="rId6">
        <w:r w:rsidDel="00000000" w:rsidR="00000000" w:rsidRPr="00000000">
          <w:rPr>
            <w:rFonts w:ascii="Google Sans Text" w:cs="Google Sans Text" w:eastAsia="Google Sans Text" w:hAnsi="Google Sans Text"/>
            <w:color w:val="0b57d0"/>
            <w:u w:val="single"/>
            <w:rtl w:val="0"/>
          </w:rPr>
          <w:t xml:space="preserve">International Monetary Fund (IMF)</w:t>
        </w:r>
      </w:hyperlink>
      <w:r w:rsidDel="00000000" w:rsidR="00000000" w:rsidRPr="00000000">
        <w:rPr>
          <w:rFonts w:ascii="Google Sans Text" w:cs="Google Sans Text" w:eastAsia="Google Sans Text" w:hAnsi="Google Sans Text"/>
          <w:color w:val="1f1f1f"/>
          <w:rtl w:val="0"/>
        </w:rPr>
        <w:t xml:space="preserve"> explicitly warns in its 2024 Article IV Consultation that this "banking concentration" and "housing affordability" remain the key systemic risks to the nation.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you ran a hedge fund and told your investors, </w:t>
      </w:r>
      <w:r w:rsidDel="00000000" w:rsidR="00000000" w:rsidRPr="00000000">
        <w:rPr>
          <w:rFonts w:ascii="Google Sans Text" w:cs="Google Sans Text" w:eastAsia="Google Sans Text" w:hAnsi="Google Sans Text"/>
          <w:i w:val="1"/>
          <w:iCs w:val="1"/>
          <w:color w:val="1f1f1f"/>
          <w:rtl w:val="0"/>
        </w:rPr>
        <w:t xml:space="preserve">"I have put nearly 70% of our capital into one specific type of asset in one specific country,"</w:t>
      </w:r>
      <w:r w:rsidDel="00000000" w:rsidR="00000000" w:rsidRPr="00000000">
        <w:rPr>
          <w:rFonts w:ascii="Google Sans Text" w:cs="Google Sans Text" w:eastAsia="Google Sans Text" w:hAnsi="Google Sans Text"/>
          <w:color w:val="1f1f1f"/>
          <w:rtl w:val="0"/>
        </w:rPr>
        <w:t xml:space="preserve"> you would be fired for recklessness. Yet, this is the business model of the Australian banking system.</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Insolvency Trigger</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is where the "Hostage Situation" begins. Banks operate on leverage. While they boast about "strong capital positions," the </w:t>
      </w:r>
      <w:hyperlink r:id="rId7">
        <w:r w:rsidDel="00000000" w:rsidR="00000000" w:rsidRPr="00000000">
          <w:rPr>
            <w:rFonts w:ascii="Google Sans Text" w:cs="Google Sans Text" w:eastAsia="Google Sans Text" w:hAnsi="Google Sans Text"/>
            <w:color w:val="0b57d0"/>
            <w:u w:val="single"/>
            <w:rtl w:val="0"/>
          </w:rPr>
          <w:t xml:space="preserve">Westpac Pillar 3 Report (Dec 2024)</w:t>
        </w:r>
      </w:hyperlink>
      <w:r w:rsidDel="00000000" w:rsidR="00000000" w:rsidRPr="00000000">
        <w:rPr>
          <w:rFonts w:ascii="Google Sans Text" w:cs="Google Sans Text" w:eastAsia="Google Sans Text" w:hAnsi="Google Sans Text"/>
          <w:color w:val="1f1f1f"/>
          <w:rtl w:val="0"/>
        </w:rPr>
        <w:t xml:space="preserve"> reveals the actual </w:t>
      </w:r>
      <w:r w:rsidDel="00000000" w:rsidR="00000000" w:rsidRPr="00000000">
        <w:rPr>
          <w:rFonts w:ascii="Google Sans Text" w:cs="Google Sans Text" w:eastAsia="Google Sans Text" w:hAnsi="Google Sans Text"/>
          <w:b w:val="1"/>
          <w:bCs w:val="1"/>
          <w:color w:val="1f1f1f"/>
          <w:rtl w:val="0"/>
        </w:rPr>
        <w:t xml:space="preserve">Leverage Ratio</w:t>
      </w:r>
      <w:r w:rsidDel="00000000" w:rsidR="00000000" w:rsidRPr="00000000">
        <w:rPr>
          <w:rFonts w:ascii="Google Sans Text" w:cs="Google Sans Text" w:eastAsia="Google Sans Text" w:hAnsi="Google Sans Text"/>
          <w:color w:val="1f1f1f"/>
          <w:rtl w:val="0"/>
        </w:rPr>
        <w:t xml:space="preserve"> is just </w:t>
      </w:r>
      <w:r w:rsidDel="00000000" w:rsidR="00000000" w:rsidRPr="00000000">
        <w:rPr>
          <w:rFonts w:ascii="Google Sans Text" w:cs="Google Sans Text" w:eastAsia="Google Sans Text" w:hAnsi="Google Sans Text"/>
          <w:b w:val="1"/>
          <w:bCs w:val="1"/>
          <w:color w:val="1f1f1f"/>
          <w:rtl w:val="0"/>
        </w:rPr>
        <w:t xml:space="preserve">5.11%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Similarly, </w:t>
      </w:r>
      <w:hyperlink r:id="rId8">
        <w:r w:rsidDel="00000000" w:rsidR="00000000" w:rsidRPr="00000000">
          <w:rPr>
            <w:rFonts w:ascii="Google Sans Text" w:cs="Google Sans Text" w:eastAsia="Google Sans Text" w:hAnsi="Google Sans Text"/>
            <w:color w:val="0b57d0"/>
            <w:u w:val="single"/>
            <w:rtl w:val="0"/>
          </w:rPr>
          <w:t xml:space="preserve">NAB's 2024 Full Year Results</w:t>
        </w:r>
      </w:hyperlink>
      <w:r w:rsidDel="00000000" w:rsidR="00000000" w:rsidRPr="00000000">
        <w:rPr>
          <w:rFonts w:ascii="Google Sans Text" w:cs="Google Sans Text" w:eastAsia="Google Sans Text" w:hAnsi="Google Sans Text"/>
          <w:color w:val="1f1f1f"/>
          <w:rtl w:val="0"/>
        </w:rPr>
        <w:t xml:space="preserve"> confirm a leverage ratio of </w:t>
      </w:r>
      <w:r w:rsidDel="00000000" w:rsidR="00000000" w:rsidRPr="00000000">
        <w:rPr>
          <w:rFonts w:ascii="Google Sans Text" w:cs="Google Sans Text" w:eastAsia="Google Sans Text" w:hAnsi="Google Sans Text"/>
          <w:b w:val="1"/>
          <w:bCs w:val="1"/>
          <w:color w:val="1f1f1f"/>
          <w:rtl w:val="0"/>
        </w:rPr>
        <w:t xml:space="preserve">5.1%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means for every $5 of their own money they hold in equity, they lend out roughly </w:t>
      </w:r>
      <w:r w:rsidDel="00000000" w:rsidR="00000000" w:rsidRPr="00000000">
        <w:rPr>
          <w:rFonts w:ascii="Google Sans Text" w:cs="Google Sans Text" w:eastAsia="Google Sans Text" w:hAnsi="Google Sans Text"/>
          <w:b w:val="1"/>
          <w:bCs w:val="1"/>
          <w:color w:val="1f1f1f"/>
          <w:rtl w:val="0"/>
        </w:rPr>
        <w:t xml:space="preserve">$100</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color w:val="1f1f1f"/>
          <w:rtl w:val="0"/>
        </w:rPr>
        <w:t xml:space="preserve">Banks use what is called </w:t>
      </w:r>
      <w:r w:rsidDel="00000000" w:rsidR="00000000" w:rsidRPr="00000000">
        <w:rPr>
          <w:rFonts w:ascii="Google Sans Text" w:cs="Google Sans Text" w:eastAsia="Google Sans Text" w:hAnsi="Google Sans Text"/>
          <w:b w:val="1"/>
          <w:bCs w:val="1"/>
          <w:color w:val="1f1f1f"/>
          <w:rtl w:val="0"/>
        </w:rPr>
        <w:t xml:space="preserve">"amortised cost"</w:t>
      </w:r>
      <w:r w:rsidDel="00000000" w:rsidR="00000000" w:rsidRPr="00000000">
        <w:rPr>
          <w:rFonts w:ascii="Google Sans Text" w:cs="Google Sans Text" w:eastAsia="Google Sans Text" w:hAnsi="Google Sans Text"/>
          <w:color w:val="1f1f1f"/>
          <w:rtl w:val="0"/>
        </w:rPr>
        <w:t xml:space="preserve"> accounting to manage this risk. In plain English, this means they do not have to record a loss just because house prices fall. As long as the borrower keeps making payments, the bank can treat the loan as "healthy" and the asset as full value—even if the house itself is now worth less than the debt. This is the strategy of </w:t>
      </w:r>
      <w:r w:rsidDel="00000000" w:rsidR="00000000" w:rsidRPr="00000000">
        <w:rPr>
          <w:rFonts w:ascii="Google Sans Text" w:cs="Google Sans Text" w:eastAsia="Google Sans Text" w:hAnsi="Google Sans Text"/>
          <w:b w:val="1"/>
          <w:bCs w:val="1"/>
          <w:color w:val="1f1f1f"/>
          <w:rtl w:val="0"/>
        </w:rPr>
        <w:t xml:space="preserve">"Extend and Pretend."</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But if a recession hits and unemployment rises, the payments stop. Suddenly, the bank is forced to admit the losses it was previously ignoring. And because the bank has only $5 of its own money for every $100 it has lent, it only takes a small wave of these bad loans to wipe out its entire buffer.</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color w:val="1f1f1f"/>
          <w:rtl w:val="0"/>
        </w:rPr>
        <w:t xml:space="preserve">In plain English: </w:t>
      </w:r>
      <w:r w:rsidDel="00000000" w:rsidR="00000000" w:rsidRPr="00000000">
        <w:rPr>
          <w:rFonts w:ascii="Google Sans Text" w:cs="Google Sans Text" w:eastAsia="Google Sans Text" w:hAnsi="Google Sans Text"/>
          <w:b w:val="1"/>
          <w:bCs w:val="1"/>
          <w:color w:val="1f1f1f"/>
          <w:rtl w:val="0"/>
        </w:rPr>
        <w:t xml:space="preserve">The banks are walking a tightrope with a safety net only 5% wide. The real danger is not just falling house prices, but the combination of falling prices and rising unemployment. Together, they trigger a systemic solvency crisis.</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Government as the "Insurance Policy"</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creates a perverse dynamic. The Australian Federal Government knows that if the Big Four fail, the country fails.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color w:val="1f1f1f"/>
          <w:rtl w:val="0"/>
        </w:rPr>
        <w:t xml:space="preserve">Therefore, the </w:t>
      </w:r>
      <w:r w:rsidDel="00000000" w:rsidR="00000000" w:rsidRPr="00000000">
        <w:rPr>
          <w:rFonts w:ascii="Google Sans Text" w:cs="Google Sans Text" w:eastAsia="Google Sans Text" w:hAnsi="Google Sans Text"/>
          <w:b w:val="1"/>
          <w:bCs w:val="1"/>
          <w:color w:val="1f1f1f"/>
          <w:rtl w:val="0"/>
        </w:rPr>
        <w:t xml:space="preserve">revealed preference</w:t>
      </w:r>
      <w:r w:rsidDel="00000000" w:rsidR="00000000" w:rsidRPr="00000000">
        <w:rPr>
          <w:rFonts w:ascii="Google Sans Text" w:cs="Google Sans Text" w:eastAsia="Google Sans Text" w:hAnsi="Google Sans Text"/>
          <w:color w:val="1f1f1f"/>
          <w:rtl w:val="0"/>
        </w:rPr>
        <w:t xml:space="preserve"> of Australian economic policy—visible in every stimulus package since 2008—is a single, unwritten directive: </w:t>
      </w:r>
      <w:r w:rsidDel="00000000" w:rsidR="00000000" w:rsidRPr="00000000">
        <w:rPr>
          <w:rFonts w:ascii="Google Sans Text" w:cs="Google Sans Text" w:eastAsia="Google Sans Text" w:hAnsi="Google Sans Text"/>
          <w:b w:val="1"/>
          <w:bCs w:val="1"/>
          <w:color w:val="1f1f1f"/>
          <w:rtl w:val="0"/>
        </w:rPr>
        <w:t xml:space="preserve">House prices must never fall.</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is not a conspiracy; it is a structural reality acknowledged by the </w:t>
      </w:r>
      <w:hyperlink r:id="rId9">
        <w:r w:rsidDel="00000000" w:rsidR="00000000" w:rsidRPr="00000000">
          <w:rPr>
            <w:rFonts w:ascii="Google Sans Text" w:cs="Google Sans Text" w:eastAsia="Google Sans Text" w:hAnsi="Google Sans Text"/>
            <w:color w:val="0b57d0"/>
            <w:u w:val="single"/>
            <w:rtl w:val="0"/>
          </w:rPr>
          <w:t xml:space="preserve">Reserve Bank of Australia (RBA)</w:t>
        </w:r>
      </w:hyperlink>
      <w:r w:rsidDel="00000000" w:rsidR="00000000" w:rsidRPr="00000000">
        <w:rPr>
          <w:rFonts w:ascii="Google Sans Text" w:cs="Google Sans Text" w:eastAsia="Google Sans Text" w:hAnsi="Google Sans Text"/>
          <w:color w:val="1f1f1f"/>
          <w:rtl w:val="0"/>
        </w:rPr>
        <w:t xml:space="preserve"> in its analysis of bank funding costs. The market knows the banks have an "Implicit Guarantee"—a taxpayer-funded insurance policy that allows them to borrow cheaply because the government will never let them fail.</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the hierarchy of financial stability, </w:t>
      </w:r>
      <w:r w:rsidDel="00000000" w:rsidR="00000000" w:rsidRPr="00000000">
        <w:rPr>
          <w:rFonts w:ascii="Google Sans Text" w:cs="Google Sans Text" w:eastAsia="Google Sans Text" w:hAnsi="Google Sans Text"/>
          <w:b w:val="1"/>
          <w:bCs w:val="1"/>
          <w:color w:val="1f1f1f"/>
          <w:rtl w:val="0"/>
        </w:rPr>
        <w:t xml:space="preserve">all other objectives are subordinated to this directive.</w:t>
      </w:r>
      <w:r w:rsidDel="00000000" w:rsidR="00000000" w:rsidRPr="00000000">
        <w:rPr>
          <w:rFonts w:ascii="Google Sans Text" w:cs="Google Sans Text" w:eastAsia="Google Sans Text" w:hAnsi="Google Sans Text"/>
          <w:color w:val="1f1f1f"/>
          <w:rtl w:val="0"/>
        </w:rPr>
        <w:t xml:space="preserve"> Your rent, your commute, your wage growth, your social stability—everything is secondary to the solvency of the collateral.</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explains the "mysterious" policy decisions that seem to defy logic:</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Why allow record immigration during a housing shortage?</w:t>
      </w:r>
      <w:r w:rsidDel="00000000" w:rsidR="00000000" w:rsidRPr="00000000">
        <w:rPr>
          <w:rFonts w:ascii="Google Sans Text" w:cs="Google Sans Text" w:eastAsia="Google Sans Text" w:hAnsi="Google Sans Text"/>
          <w:color w:val="1f1f1f"/>
          <w:rtl w:val="0"/>
        </w:rPr>
        <w:t xml:space="preserve"> Because new people create a floor under housing demand, ensuring prices (the bank's collateral) stay high.</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Why protect Negative Gearing?</w:t>
      </w:r>
      <w:r w:rsidDel="00000000" w:rsidR="00000000" w:rsidRPr="00000000">
        <w:rPr>
          <w:rFonts w:ascii="Google Sans Text" w:cs="Google Sans Text" w:eastAsia="Google Sans Text" w:hAnsi="Google Sans Text"/>
          <w:color w:val="1f1f1f"/>
          <w:rtl w:val="0"/>
        </w:rPr>
        <w:t xml:space="preserve"> Because it keeps investors buying, keeping the collateral liquid.</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Why give grants to first home buyers?</w:t>
      </w:r>
      <w:r w:rsidDel="00000000" w:rsidR="00000000" w:rsidRPr="00000000">
        <w:rPr>
          <w:rFonts w:ascii="Google Sans Text" w:cs="Google Sans Text" w:eastAsia="Google Sans Text" w:hAnsi="Google Sans Text"/>
          <w:color w:val="1f1f1f"/>
          <w:rtl w:val="0"/>
        </w:rPr>
        <w:t xml:space="preserve"> To feed fresh capital into the bottom of the pyramid to prop up the top.</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Feudal Exit Strategy (Build-to-Rent)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banks are not stupid. They know this Ponzi scheme has a limit. You cannot squeeze the individual renter forever.</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is why we are seeing the shift toward </w:t>
      </w:r>
      <w:r w:rsidDel="00000000" w:rsidR="00000000" w:rsidRPr="00000000">
        <w:rPr>
          <w:rFonts w:ascii="Google Sans Text" w:cs="Google Sans Text" w:eastAsia="Google Sans Text" w:hAnsi="Google Sans Text"/>
          <w:b w:val="1"/>
          <w:bCs w:val="1"/>
          <w:color w:val="1f1f1f"/>
          <w:rtl w:val="0"/>
        </w:rPr>
        <w:t xml:space="preserve">"Build-to-Rent" (BTR)</w:t>
      </w:r>
      <w:r w:rsidDel="00000000" w:rsidR="00000000" w:rsidRPr="00000000">
        <w:rPr>
          <w:rFonts w:ascii="Google Sans Text" w:cs="Google Sans Text" w:eastAsia="Google Sans Text" w:hAnsi="Google Sans Text"/>
          <w:color w:val="1f1f1f"/>
          <w:rtl w:val="0"/>
        </w:rPr>
        <w:t xml:space="preserve">. Financiers like </w:t>
      </w:r>
      <w:hyperlink r:id="rId10">
        <w:r w:rsidDel="00000000" w:rsidR="00000000" w:rsidRPr="00000000">
          <w:rPr>
            <w:rFonts w:ascii="Google Sans Text" w:cs="Google Sans Text" w:eastAsia="Google Sans Text" w:hAnsi="Google Sans Text"/>
            <w:color w:val="0b57d0"/>
            <w:u w:val="single"/>
            <w:rtl w:val="0"/>
          </w:rPr>
          <w:t xml:space="preserve">Merricks Capital</w:t>
        </w:r>
      </w:hyperlink>
      <w:r w:rsidDel="00000000" w:rsidR="00000000" w:rsidRPr="00000000">
        <w:rPr>
          <w:rFonts w:ascii="Google Sans Text" w:cs="Google Sans Text" w:eastAsia="Google Sans Text" w:hAnsi="Google Sans Text"/>
          <w:color w:val="1f1f1f"/>
          <w:rtl w:val="0"/>
        </w:rPr>
        <w:t xml:space="preserve"> and </w:t>
      </w:r>
      <w:hyperlink r:id="rId11">
        <w:r w:rsidDel="00000000" w:rsidR="00000000" w:rsidRPr="00000000">
          <w:rPr>
            <w:rFonts w:ascii="Google Sans Text" w:cs="Google Sans Text" w:eastAsia="Google Sans Text" w:hAnsi="Google Sans Text"/>
            <w:color w:val="0b57d0"/>
            <w:u w:val="single"/>
            <w:rtl w:val="0"/>
          </w:rPr>
          <w:t xml:space="preserve">Macquarie Bank</w:t>
        </w:r>
      </w:hyperlink>
      <w:r w:rsidDel="00000000" w:rsidR="00000000" w:rsidRPr="00000000">
        <w:rPr>
          <w:rFonts w:ascii="Google Sans Text" w:cs="Google Sans Text" w:eastAsia="Google Sans Text" w:hAnsi="Google Sans Text"/>
          <w:color w:val="1f1f1f"/>
          <w:rtl w:val="0"/>
        </w:rPr>
        <w:t xml:space="preserve"> are explicitly framing BTR as a "de-risking" strategy.</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They would much rather lend to a single, stable corporation that owns 500 apartments (providing a "higher quality" yield) than to 500 struggling individuals. It moves the risk from the volatile public to the stable corporate sector.</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Verdict</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do not have a housing policy; we have a </w:t>
      </w:r>
      <w:r w:rsidDel="00000000" w:rsidR="00000000" w:rsidRPr="00000000">
        <w:rPr>
          <w:rFonts w:ascii="Google Sans Text" w:cs="Google Sans Text" w:eastAsia="Google Sans Text" w:hAnsi="Google Sans Text"/>
          <w:b w:val="1"/>
          <w:bCs w:val="1"/>
          <w:color w:val="1f1f1f"/>
          <w:rtl w:val="0"/>
        </w:rPr>
        <w:t xml:space="preserve">Bank Solvency Policy</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Until we force the banking sector to de-couple from residential real estate—perhaps by imposing higher risk-weighting on mortgages or breaking up the Big Four—we will never solve the crisis.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are not fighting for a home. We are functioning as the collateral damage in a frantic attempt to keep the ledger balanced. The question is: How much more social destruction are we willing to absorb to keep the Big Four in the black?</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macquarie.com/au/en/perspectives.html" TargetMode="External"/><Relationship Id="rId10" Type="http://schemas.openxmlformats.org/officeDocument/2006/relationships/hyperlink" Target="https://merrickscapital.com/" TargetMode="External"/><Relationship Id="rId9" Type="http://schemas.openxmlformats.org/officeDocument/2006/relationships/hyperlink" Target="https://www.rba.gov.au/publications/bulletin/" TargetMode="External"/><Relationship Id="rId5" Type="http://schemas.openxmlformats.org/officeDocument/2006/relationships/styles" Target="styles.xml"/><Relationship Id="rId6" Type="http://schemas.openxmlformats.org/officeDocument/2006/relationships/hyperlink" Target="https://www.imf.org/en/Countries/AUS" TargetMode="External"/><Relationship Id="rId7" Type="http://schemas.openxmlformats.org/officeDocument/2006/relationships/hyperlink" Target="https://www.westpac.com.au/about-westpac/investor-centre/financial-information/regulatory-disclosures/" TargetMode="External"/><Relationship Id="rId8" Type="http://schemas.openxmlformats.org/officeDocument/2006/relationships/hyperlink" Target="https://www.nab.com.au/about-us/shareholder-centre/financial-disclosures-and-reporting/financial-resul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