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Control: Foreign Capital, Insolvency Risks, and the Systemic Minimisation Strategy in Australian Banking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Mirage of Stability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banking sector, dominated by the "Big Four" institutions—Commonwealth Bank of Australia (CBA), Westpac Banking Corporation (WBC), National Australia Bank (NAB), and Australia and New Zealand Banking Group (ANZ)—is frequently cited as a paragon of stability and profitability. Underpinned by the federal government's "Four Pillars" policy, which effectively prohibits mergers between these entities to preserve competition, the sector operates as a protected oligopoly. This structure has allowed the Big Four to amass immense balance sheets, heavily weighted towards residential mortgages, creating a symbiotic relationship between the banks, the housing market, and the national economy.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a forensic examination of the sector reveals a fragility that is often obscured by headline profit figures and regulatory assurances of "unquestionably strong" capital ratios. The stability of Australian banking is not indigenous; it is a derivative function of global capital flows, specifically the wholesale funding provided by offshore institutional investors and the equity capital controlled by United States-based passive asset managers.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posits that the Australian banking system is currently operating under a </w:t>
      </w:r>
      <w:r w:rsidDel="00000000" w:rsidR="00000000" w:rsidRPr="00000000">
        <w:rPr>
          <w:rFonts w:ascii="Google Sans Text" w:cs="Google Sans Text" w:eastAsia="Google Sans Text" w:hAnsi="Google Sans Text"/>
          <w:b w:val="1"/>
          <w:bCs w:val="1"/>
          <w:color w:val="1f1f1f"/>
          <w:rtl w:val="0"/>
        </w:rPr>
        <w:t xml:space="preserve">"Minimisation Plan"</w:t>
      </w:r>
      <w:r w:rsidDel="00000000" w:rsidR="00000000" w:rsidRPr="00000000">
        <w:rPr>
          <w:rFonts w:ascii="Google Sans Text" w:cs="Google Sans Text" w:eastAsia="Google Sans Text" w:hAnsi="Google Sans Text"/>
          <w:color w:val="1f1f1f"/>
          <w:rtl w:val="0"/>
        </w:rPr>
        <w:t xml:space="preserve">—a systemic, coordinated strategy employed by the banks, regulators (APRA and RBA), and political stakeholders to suppress the recognition of insolvency risks. This plan relies on mechanisms of obfuscation, such as "extend and pretend" lending, the manipulation of hardship data to mask true arrears, and the strategic deployment of liquidity facilities like the Term Funding Facility (TFF) to delay the crystallization of losses.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"ideological share"—the power to dictate the non-financial conduct of the banks—has shifted decisively offshore. The beneficial ownership of the Big Four is concentrated in the hands of the "Big Three" US asset managers: BlackRock, Vanguard, and State Street. Through their voting power, these entities enforce global Environmental, Social, and Governance (ESG) mandates, effectively overriding domestic economic priorities and introducing new vectors of sovereignty risk.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a comprehensive analysis of these dynamics. It investigates the structural backers of the sector, the reliance on Japanese and European debt markets, the mechanics of the Minimisation Plan, and the latent insolvency risks posed by a hyper-inflated housing market facing a high-interest rate environment.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Beneficial Owners: The "Big Three" and the Ideological Capture of Capital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ownership structure of Australia’s Big Four banks challenges the traditional conception of national financial sovereignty. While listed on the Australian Securities Exchange (ASX), the beneficial ownership reveals a concentration of power within a small cadre of transnational asset managers. This concentration is not merely financial; it is the primary transmission mechanism for the ideological covenants that now govern Australian lending practices.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Ascendancy of Passive Capital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Over the past decade, the register of Australian bank shareholders has been transformed by the rise of passive investing. Analysis of substantial shareholder notices and annual reports from 2024 and 2025 confirms that the top institutional shareholders across all four major banks are virtually identical. This phenomenon, known as </w:t>
      </w:r>
      <w:r w:rsidDel="00000000" w:rsidR="00000000" w:rsidRPr="00000000">
        <w:rPr>
          <w:rFonts w:ascii="Google Sans Text" w:cs="Google Sans Text" w:eastAsia="Google Sans Text" w:hAnsi="Google Sans Text"/>
          <w:b w:val="1"/>
          <w:bCs w:val="1"/>
          <w:color w:val="1f1f1f"/>
          <w:rtl w:val="0"/>
        </w:rPr>
        <w:t xml:space="preserve">Common Ownership</w:t>
      </w:r>
      <w:r w:rsidDel="00000000" w:rsidR="00000000" w:rsidRPr="00000000">
        <w:rPr>
          <w:rFonts w:ascii="Google Sans Text" w:cs="Google Sans Text" w:eastAsia="Google Sans Text" w:hAnsi="Google Sans Text"/>
          <w:color w:val="1f1f1f"/>
          <w:rtl w:val="0"/>
        </w:rPr>
        <w:t xml:space="preserve">, effectively creates a "super-entity" across the banking sector, reducing incentives for aggressive price competition and enforcing uniform corporate strategies.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dominant trio, known globally as the "Big Three," are: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BlackRock Inc. (USA):</w:t>
      </w:r>
      <w:r w:rsidDel="00000000" w:rsidR="00000000" w:rsidRPr="00000000">
        <w:rPr>
          <w:rFonts w:ascii="Google Sans Text" w:cs="Google Sans Text" w:eastAsia="Google Sans Text" w:hAnsi="Google Sans Text"/>
          <w:color w:val="1f1f1f"/>
          <w:rtl w:val="0"/>
        </w:rPr>
        <w:t xml:space="preserve"> The world's largest asset manager, utilizing its "Aladdin" risk platform and immense voting blocks to steer corporate strategy.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Vanguard Group (USA):</w:t>
      </w:r>
      <w:r w:rsidDel="00000000" w:rsidR="00000000" w:rsidRPr="00000000">
        <w:rPr>
          <w:rFonts w:ascii="Google Sans Text" w:cs="Google Sans Text" w:eastAsia="Google Sans Text" w:hAnsi="Google Sans Text"/>
          <w:color w:val="1f1f1f"/>
          <w:rtl w:val="0"/>
        </w:rPr>
        <w:t xml:space="preserve"> A dominant force in index funds, Vanguard holds significant sway over director appointments and remuneration reports.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Street Global Advisors (USA):</w:t>
      </w:r>
      <w:r w:rsidDel="00000000" w:rsidR="00000000" w:rsidRPr="00000000">
        <w:rPr>
          <w:rFonts w:ascii="Google Sans Text" w:cs="Google Sans Text" w:eastAsia="Google Sans Text" w:hAnsi="Google Sans Text"/>
          <w:color w:val="1f1f1f"/>
          <w:rtl w:val="0"/>
        </w:rPr>
        <w:t xml:space="preserve"> A key player in custodial services and asset management, often acting as a "quiet enforcer" on governance issues.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Together, these entities control a decisive block of voting stock in each of the major banks. In 2024, Commonwealth Bank's institutional ownership reached 54%, with offshore holdings hitting 25.5%, while ANZ remains the most exposed to offshore investors at 31.3%.</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Institutional Ownership Concentration and Influence (2024-2025)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Data synthesized from market intelligence and shareholder disclosures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Institutional Backers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Estimated Institutional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Offshore Ownership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Jurisdiction of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BlackRock, Vanguard,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 / Global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Westpac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Vanguard, BlackRock,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 / Global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Vanguard, BlackRock,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34.7% (Record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 / Global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BlackRock, Vanguard,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 / Global</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Analysis of Voting Power:</w:t>
      </w:r>
      <w:r w:rsidDel="00000000" w:rsidR="00000000" w:rsidRPr="00000000">
        <w:rPr>
          <w:rFonts w:ascii="Google Sans Text" w:cs="Google Sans Text" w:eastAsia="Google Sans Text" w:hAnsi="Google Sans Text"/>
          <w:color w:val="1f1f1f"/>
          <w:rtl w:val="0"/>
        </w:rPr>
        <w:t xml:space="preserve"> While these managers hold shares on behalf of underlying investors (retail and institutional), the </w:t>
      </w:r>
      <w:r w:rsidDel="00000000" w:rsidR="00000000" w:rsidRPr="00000000">
        <w:rPr>
          <w:rFonts w:ascii="Google Sans Text" w:cs="Google Sans Text" w:eastAsia="Google Sans Text" w:hAnsi="Google Sans Text"/>
          <w:b w:val="1"/>
          <w:bCs w:val="1"/>
          <w:color w:val="1f1f1f"/>
          <w:rtl w:val="0"/>
        </w:rPr>
        <w:t xml:space="preserve">voting rights</w:t>
      </w:r>
      <w:r w:rsidDel="00000000" w:rsidR="00000000" w:rsidRPr="00000000">
        <w:rPr>
          <w:rFonts w:ascii="Google Sans Text" w:cs="Google Sans Text" w:eastAsia="Google Sans Text" w:hAnsi="Google Sans Text"/>
          <w:color w:val="1f1f1f"/>
          <w:rtl w:val="0"/>
        </w:rPr>
        <w:t xml:space="preserve"> reside with the fund houses. This grants them disproportionate influence. In the context of the "Minimisation Plan," this ownership structure provides a buffer against market discipline. The "Big Three" are universal owners; they own the debt and equity of the entire system. A collapse in one bank would damage their broader portfolio, creating an incentive to support regulatory forbearance and stability measures over transparent price discovery.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Sovereign Wealth Stratum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Beneath the US index giants lies a strategic layer of Sovereign Wealth Funds (SWFs) that utilize the Australian banking sector for yield and geopolitical leverage.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Norges Bank Investment Management (NBIM) - Norway:</w:t>
      </w:r>
      <w:r w:rsidDel="00000000" w:rsidR="00000000" w:rsidRPr="00000000">
        <w:rPr>
          <w:rFonts w:ascii="Google Sans Text" w:cs="Google Sans Text" w:eastAsia="Google Sans Text" w:hAnsi="Google Sans Text"/>
          <w:color w:val="1f1f1f"/>
          <w:rtl w:val="0"/>
        </w:rPr>
        <w:t xml:space="preserve"> The manager of the Government Pension Fund Global (the "Oil Fund") is a substantial shareholder in Australian banks. As of late 2025, Norges Bank held billions in Australian equities. Critically, NBIM is an activist owner. It uses its voting power to enforce strict climate change disclosures and transition plans. In 2024, NBIM's voting record showed consistent support for "Say on Climate" resolutions, pressuring Australian banks to accelerate their exit from fossil fuel lending, even when such exits conflicted with immediate profit maximization from Australia's resource-heavy economy.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Temasek Holdings - Singapore:</w:t>
      </w:r>
      <w:r w:rsidDel="00000000" w:rsidR="00000000" w:rsidRPr="00000000">
        <w:rPr>
          <w:rFonts w:ascii="Google Sans Text" w:cs="Google Sans Text" w:eastAsia="Google Sans Text" w:hAnsi="Google Sans Text"/>
          <w:color w:val="1f1f1f"/>
          <w:rtl w:val="0"/>
        </w:rPr>
        <w:t xml:space="preserve"> Temasek, the Singaporean state investment company, maintains strategic interests in the region. While it has divested some direct bank stakes over the years, it influences the sector through its investments in fintech platforms (like FNZ) and interconnected financial services that integrate with the Big Four. Temasek’s backing provides a capital bridge to Asian markets, reinforcing ANZ’s "super-regional" strategy which, despite pullbacks, remains a key differentiator.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China Investment Corporation (CIC) - China:</w:t>
      </w:r>
      <w:r w:rsidDel="00000000" w:rsidR="00000000" w:rsidRPr="00000000">
        <w:rPr>
          <w:rFonts w:ascii="Google Sans Text" w:cs="Google Sans Text" w:eastAsia="Google Sans Text" w:hAnsi="Google Sans Text"/>
          <w:color w:val="1f1f1f"/>
          <w:rtl w:val="0"/>
        </w:rPr>
        <w:t xml:space="preserve"> Historically a major stabilizing investor post-GFC, CIC’s direct influence has waned relative to the mid-2010s. However, it remains a significant holder of Australian assets. The relationship has shifted from direct equity stakes in banks to broader exposure via Australian dollar assets and government debt. The decline in direct Chinese equity influence has been offset by the rise of Japanese debt funding (discussed in Section 3).</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Mechanism of Ideological Share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of "Ideological Share" refers to the ability of shareholders to dictate the non-financial policies of the banks. The evidence suggests that the "Big Three" utilize their holdings to export US and EU-centric </w:t>
      </w:r>
      <w:r w:rsidDel="00000000" w:rsidR="00000000" w:rsidRPr="00000000">
        <w:rPr>
          <w:rFonts w:ascii="Google Sans Text" w:cs="Google Sans Text" w:eastAsia="Google Sans Text" w:hAnsi="Google Sans Text"/>
          <w:b w:val="1"/>
          <w:bCs w:val="1"/>
          <w:color w:val="1f1f1f"/>
          <w:rtl w:val="0"/>
        </w:rPr>
        <w:t xml:space="preserve">Environmental, Social, and Governance (ESG)</w:t>
      </w:r>
      <w:r w:rsidDel="00000000" w:rsidR="00000000" w:rsidRPr="00000000">
        <w:rPr>
          <w:rFonts w:ascii="Google Sans Text" w:cs="Google Sans Text" w:eastAsia="Google Sans Text" w:hAnsi="Google Sans Text"/>
          <w:color w:val="1f1f1f"/>
          <w:rtl w:val="0"/>
        </w:rPr>
        <w:t xml:space="preserve"> standards into the Australian market.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"Say on Climate" Weapon:</w:t>
      </w:r>
      <w:r w:rsidDel="00000000" w:rsidR="00000000" w:rsidRPr="00000000">
        <w:rPr>
          <w:rFonts w:ascii="Google Sans Text" w:cs="Google Sans Text" w:eastAsia="Google Sans Text" w:hAnsi="Google Sans Text"/>
          <w:color w:val="1f1f1f"/>
          <w:rtl w:val="0"/>
        </w:rPr>
        <w:t xml:space="preserve"> BlackRock and Vanguard have utilized their voting blocks to enforce decarbonization policies. In the 2024 and 2025 AGM seasons, a distinct pattern emerged where US-based managers supported resolutions that pressured Australian banks to restrict lending to fossil fuel projects. For instance, resolutions calling for the disclosure of "transition plans" compatible with a 1.5°C scenario received significant support, often against the recommendations of local boards.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De-banking as Policy Enforcement: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shareholder pressure is the primary driver behind the "de-banking" phenomenon. Australian banks have increasingly withdrawn services from legitimate Australian industries—such as thermal coal, native forestry, and even certain agricultural sectors—that fail to meet the ESG taxonomy of their foreign owners.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Disconnect:</w:t>
      </w:r>
      <w:r w:rsidDel="00000000" w:rsidR="00000000" w:rsidRPr="00000000">
        <w:rPr>
          <w:rFonts w:ascii="Google Sans Text" w:cs="Google Sans Text" w:eastAsia="Google Sans Text" w:hAnsi="Google Sans Text"/>
          <w:color w:val="1f1f1f"/>
          <w:rtl w:val="0"/>
        </w:rPr>
        <w:t xml:space="preserve"> This creates a sovereignty paradox. Australian banks, operating under Australian banking licenses, are implementing the industrial policies of foreign asset managers. The "de-banking" of cash transit businesses and other sectors has prompted inquiries by the ACCC and APRA, highlighting the tension between commercial freedom and essential service obligations.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"Toxic Investors" Paradox:</w:t>
      </w:r>
      <w:r w:rsidDel="00000000" w:rsidR="00000000" w:rsidRPr="00000000">
        <w:rPr>
          <w:rFonts w:ascii="Google Sans Text" w:cs="Google Sans Text" w:eastAsia="Google Sans Text" w:hAnsi="Google Sans Text"/>
          <w:color w:val="1f1f1f"/>
          <w:rtl w:val="0"/>
        </w:rPr>
        <w:t xml:space="preserve"> A report from Queen Mary University labeled the Big Three as "Toxic Investors" for their continued holding of fossil fuel assets while simultaneously pressuring companies to transition. This highlights the dual role they play: profiting from the status quo while enforcing an ideological transition that constrains bank lending policies, effectively hedging their own reputational risk at the expense of the bank's operational autonomy.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Capital Flows: Wholesale Funding and the Japanese Pivot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equity investors own the banks, debt investors </w:t>
      </w:r>
      <w:r w:rsidDel="00000000" w:rsidR="00000000" w:rsidRPr="00000000">
        <w:rPr>
          <w:rFonts w:ascii="Google Sans Text" w:cs="Google Sans Text" w:eastAsia="Google Sans Text" w:hAnsi="Google Sans Text"/>
          <w:i w:val="1"/>
          <w:iCs w:val="1"/>
          <w:color w:val="1f1f1f"/>
          <w:rtl w:val="0"/>
        </w:rPr>
        <w:t xml:space="preserve">fund</w:t>
      </w:r>
      <w:r w:rsidDel="00000000" w:rsidR="00000000" w:rsidRPr="00000000">
        <w:rPr>
          <w:rFonts w:ascii="Google Sans Text" w:cs="Google Sans Text" w:eastAsia="Google Sans Text" w:hAnsi="Google Sans Text"/>
          <w:color w:val="1f1f1f"/>
          <w:rtl w:val="0"/>
        </w:rPr>
        <w:t xml:space="preserve"> them. The Australian banking model is structurally reliant on wholesale funding markets to bridge the gap between domestic deposits and the total loan book. This "funding gap" is the Achilles' heel of the Big Four, rendering them acutely sensitive to offshore liquidity conditions.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Wholesale Funding Addiction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Australian banks cannot fund their mortgage books entirely through domestic deposits. They rely on wholesale debt markets for approximately 30-40% of their total funding.</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A significant portion of this is sourced offshore, creating a vulnerability to global liquidity shocks.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Currency Mismatch: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Australian banks issue debt in US Dollars (USD) and Euros (EUR) to tap into deeper liquidity pools, swapping the proceeds back to Australian Dollars (AUD) to fund mortgages. This introduces </w:t>
      </w:r>
      <w:r w:rsidDel="00000000" w:rsidR="00000000" w:rsidRPr="00000000">
        <w:rPr>
          <w:rFonts w:ascii="Google Sans Text" w:cs="Google Sans Text" w:eastAsia="Google Sans Text" w:hAnsi="Google Sans Text"/>
          <w:b w:val="1"/>
          <w:bCs w:val="1"/>
          <w:color w:val="1f1f1f"/>
          <w:rtl w:val="0"/>
        </w:rPr>
        <w:t xml:space="preserve">Cross-Currency Basis Swap</w:t>
      </w:r>
      <w:r w:rsidDel="00000000" w:rsidR="00000000" w:rsidRPr="00000000">
        <w:rPr>
          <w:rFonts w:ascii="Google Sans Text" w:cs="Google Sans Text" w:eastAsia="Google Sans Text" w:hAnsi="Google Sans Text"/>
          <w:color w:val="1f1f1f"/>
          <w:rtl w:val="0"/>
        </w:rPr>
        <w:t xml:space="preserve"> risk. In times of stress (as seen in March 2020), the cost of swapping foreign currency back to AUD can spike, effectively shutting the banks out of offshore markets.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Point:</w:t>
      </w:r>
      <w:r w:rsidDel="00000000" w:rsidR="00000000" w:rsidRPr="00000000">
        <w:rPr>
          <w:rFonts w:ascii="Google Sans Text" w:cs="Google Sans Text" w:eastAsia="Google Sans Text" w:hAnsi="Google Sans Text"/>
          <w:color w:val="1f1f1f"/>
          <w:rtl w:val="0"/>
        </w:rPr>
        <w:t xml:space="preserve"> Wholesale debt issued overseas accounts for around 20% of total funding for major Australian banks. Almost 50% of this is long-term debt, which is critical for the stability of the housing loan book.</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Rise of Japanese Capital: The New "Buyers of Last Resort"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and under-reported trend in the 2024-2025 period is the pivot towards Japanese capital. As US and European markets have become more volatile and expensive, Japanese mega-banks and institutional investors have become the bedrock of Australian bank funding.</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Players: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Mitsubishi UFJ Financial Group (MUFG)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Sumitomo Mitsui Banking Corporation (SMBC)</w:t>
      </w:r>
      <w:r w:rsidDel="00000000" w:rsidR="00000000" w:rsidRPr="00000000">
        <w:rPr>
          <w:rFonts w:ascii="Google Sans Text" w:cs="Google Sans Text" w:eastAsia="Google Sans Text" w:hAnsi="Google Sans Text"/>
          <w:color w:val="1f1f1f"/>
          <w:rtl w:val="0"/>
        </w:rPr>
        <w:t xml:space="preserve"> have aggressively expanded their balance sheets in Australia.</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Expansion Data:</w:t>
      </w:r>
      <w:r w:rsidDel="00000000" w:rsidR="00000000" w:rsidRPr="00000000">
        <w:rPr>
          <w:rFonts w:ascii="Google Sans Text" w:cs="Google Sans Text" w:eastAsia="Google Sans Text" w:hAnsi="Google Sans Text"/>
          <w:color w:val="1f1f1f"/>
          <w:rtl w:val="0"/>
        </w:rPr>
        <w:t xml:space="preserve"> In mid-2025, SMBC and MUFG recorded the strongest growth rates in business lending among all Authorized Deposit-taking Institutions (ADIs) in Australia, specifically outpacing the domestic Big Four. SMBC recorded a 4.66% growth in its business loan book in July 2025 alone.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Carry Trade Mechanism:</w:t>
      </w:r>
      <w:r w:rsidDel="00000000" w:rsidR="00000000" w:rsidRPr="00000000">
        <w:rPr>
          <w:rFonts w:ascii="Google Sans Text" w:cs="Google Sans Text" w:eastAsia="Google Sans Text" w:hAnsi="Google Sans Text"/>
          <w:color w:val="1f1f1f"/>
          <w:rtl w:val="0"/>
        </w:rPr>
        <w:t xml:space="preserve"> Japanese investors, faced with near-zero domestic yields for decades, have historically bought high-yielding Australian bank paper (Covered Bonds and RMBS). This "Carry Trade" is a critical pillar of Australian housing liquidity.</w:t>
      </w:r>
    </w:p>
    <w:p w:rsidR="00000000" w:rsidDel="00000000" w:rsidP="00000000" w:rsidRDefault="00000000" w:rsidRPr="00000000" w14:paraId="00000045">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creates a dependency on the Bank of Japan (BOJ). If the BOJ normalizes interest rates (raising them from zero), the incentive for Japanese investors to hold Australian debt diminishes. A repatriation of Japanese capital would trigger a liquidity shock for Australian banks, forcing up funding costs independent of the Reserve Bank of Australia’s (RBA) cash rate settings.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Covered Bonds and Securitisation: Encumbering the Balance Sheet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secure cheaper funding from these foreign creditors, the Big Four increasingly pledge their best assets—prime mortgages—as collateral for </w:t>
      </w:r>
      <w:r w:rsidDel="00000000" w:rsidR="00000000" w:rsidRPr="00000000">
        <w:rPr>
          <w:rFonts w:ascii="Google Sans Text" w:cs="Google Sans Text" w:eastAsia="Google Sans Text" w:hAnsi="Google Sans Text"/>
          <w:b w:val="1"/>
          <w:bCs w:val="1"/>
          <w:color w:val="1f1f1f"/>
          <w:rtl w:val="0"/>
        </w:rPr>
        <w:t xml:space="preserve">Covered Bonds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Unlike unsecured debt, covered bonds give investors a dual recourse: a claim on the bank </w:t>
      </w:r>
      <w:r w:rsidDel="00000000" w:rsidR="00000000" w:rsidRPr="00000000">
        <w:rPr>
          <w:rFonts w:ascii="Google Sans Text" w:cs="Google Sans Text" w:eastAsia="Google Sans Text" w:hAnsi="Google Sans Text"/>
          <w:i w:val="1"/>
          <w:i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a preferential claim on a ring-fenced pool of mortgages.</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Issuance Volumes:</w:t>
      </w:r>
      <w:r w:rsidDel="00000000" w:rsidR="00000000" w:rsidRPr="00000000">
        <w:rPr>
          <w:rFonts w:ascii="Google Sans Text" w:cs="Google Sans Text" w:eastAsia="Google Sans Text" w:hAnsi="Google Sans Text"/>
          <w:color w:val="1f1f1f"/>
          <w:rtl w:val="0"/>
        </w:rPr>
        <w:t xml:space="preserve"> The major banks have been active issuers. For example, CBA and Westpac have substantial covered bond programs with benchmark trades in EUR, USD, and AUD. Westpac alone has approximately A$31 billion in covered bonds outstanding.</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"Asset Encumbrance" Risk:</w:t>
      </w:r>
      <w:r w:rsidDel="00000000" w:rsidR="00000000" w:rsidRPr="00000000">
        <w:rPr>
          <w:rFonts w:ascii="Google Sans Text" w:cs="Google Sans Text" w:eastAsia="Google Sans Text" w:hAnsi="Google Sans Text"/>
          <w:color w:val="1f1f1f"/>
          <w:rtl w:val="0"/>
        </w:rPr>
        <w:t xml:space="preserve"> By encumbering their best assets to secure foreign funding, the banks increase the risk for unsecured depositors and the Australian government (via the Financial Claims Scheme) in the event of insolvency. If a bank fails, the covered bondholders (mostly foreign institutions) get the prime mortgages first. Rising reliance on covered bonds is a signal that unsecured funding is becoming more difficult or expensive to obtain.</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Term Funding Facility (TFF) and the Refinancing Cliff</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Term Funding Facility (TFF)</w:t>
      </w:r>
      <w:r w:rsidDel="00000000" w:rsidR="00000000" w:rsidRPr="00000000">
        <w:rPr>
          <w:rFonts w:ascii="Google Sans Text" w:cs="Google Sans Text" w:eastAsia="Google Sans Text" w:hAnsi="Google Sans Text"/>
          <w:color w:val="1f1f1f"/>
          <w:rtl w:val="0"/>
        </w:rPr>
        <w:t xml:space="preserve"> provided by the RBA was a cornerstone of the Minimisation Plan during the pandemic, but its expiration has created a new vulnerability.</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Subsidy:</w:t>
      </w:r>
      <w:r w:rsidDel="00000000" w:rsidR="00000000" w:rsidRPr="00000000">
        <w:rPr>
          <w:rFonts w:ascii="Google Sans Text" w:cs="Google Sans Text" w:eastAsia="Google Sans Text" w:hAnsi="Google Sans Text"/>
          <w:color w:val="1f1f1f"/>
          <w:rtl w:val="0"/>
        </w:rPr>
        <w:t xml:space="preserve"> The RBA provided approximately $188 billion to banks at a fixed rate of 0.1% or 0.25% for three years. This detached bank funding costs from global markets, allowing them to offer low fixed-rate mortgages and effectively subsidizing their Net Interest Margins (NIM).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Cliff:</w:t>
      </w:r>
      <w:r w:rsidDel="00000000" w:rsidR="00000000" w:rsidRPr="00000000">
        <w:rPr>
          <w:rFonts w:ascii="Google Sans Text" w:cs="Google Sans Text" w:eastAsia="Google Sans Text" w:hAnsi="Google Sans Text"/>
          <w:color w:val="1f1f1f"/>
          <w:rtl w:val="0"/>
        </w:rPr>
        <w:t xml:space="preserve"> As these funds matured in mid-2024, banks were forced to replace this cheap public money with expensive wholesale debt. This refinancing task has compressed margins and increased the banks' sensitivity to credit ratings. The "Minimisation" aspect involved banks using the TFF period to buffer their capital stacks, essentially a taxpayer-funded recapitalization that shielded shareholders from dilution during the crisis.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"Minimisation Plan": Systemic Insolvency Management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"Minimisation Plan" is not a conspiracy but a functional reality of the Australian regulatory and banking ecosystem. It is a set of operational and regulatory behaviors designed to prevent the recognition of bad debts that could trigger a solvency crisis. This strategy relies on the premise that housing prices must not be allowed to collapse, as the collateral damage to the banking system would be terminal.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Mechanism 1: "Extend and Pretend" and the Hardship Grey Zone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tool in the Minimisation Plan is the "extend and pretend" strategy regarding non-performing loans (NPLs). This involves restructuring loans to avoid classifying them as in default.</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Disconnect:</w:t>
      </w:r>
      <w:r w:rsidDel="00000000" w:rsidR="00000000" w:rsidRPr="00000000">
        <w:rPr>
          <w:rFonts w:ascii="Google Sans Text" w:cs="Google Sans Text" w:eastAsia="Google Sans Text" w:hAnsi="Google Sans Text"/>
          <w:color w:val="1f1f1f"/>
          <w:rtl w:val="0"/>
        </w:rPr>
        <w:t xml:space="preserve"> There is a widening gap between </w:t>
      </w:r>
      <w:r w:rsidDel="00000000" w:rsidR="00000000" w:rsidRPr="00000000">
        <w:rPr>
          <w:rFonts w:ascii="Google Sans Text" w:cs="Google Sans Text" w:eastAsia="Google Sans Text" w:hAnsi="Google Sans Text"/>
          <w:b w:val="1"/>
          <w:bCs w:val="1"/>
          <w:color w:val="1f1f1f"/>
          <w:rtl w:val="0"/>
        </w:rPr>
        <w:t xml:space="preserve">Official Arrears</w:t>
      </w:r>
      <w:r w:rsidDel="00000000" w:rsidR="00000000" w:rsidRPr="00000000">
        <w:rPr>
          <w:rFonts w:ascii="Google Sans Text" w:cs="Google Sans Text" w:eastAsia="Google Sans Text" w:hAnsi="Google Sans Text"/>
          <w:color w:val="1f1f1f"/>
          <w:rtl w:val="0"/>
        </w:rPr>
        <w:t xml:space="preserve"> data and </w:t>
      </w:r>
      <w:r w:rsidDel="00000000" w:rsidR="00000000" w:rsidRPr="00000000">
        <w:rPr>
          <w:rFonts w:ascii="Google Sans Text" w:cs="Google Sans Text" w:eastAsia="Google Sans Text" w:hAnsi="Google Sans Text"/>
          <w:b w:val="1"/>
          <w:bCs w:val="1"/>
          <w:color w:val="1f1f1f"/>
          <w:rtl w:val="0"/>
        </w:rPr>
        <w:t xml:space="preserve">Financial Hardship</w:t>
      </w:r>
      <w:r w:rsidDel="00000000" w:rsidR="00000000" w:rsidRPr="00000000">
        <w:rPr>
          <w:rFonts w:ascii="Google Sans Text" w:cs="Google Sans Text" w:eastAsia="Google Sans Text" w:hAnsi="Google Sans Text"/>
          <w:color w:val="1f1f1f"/>
          <w:rtl w:val="0"/>
        </w:rPr>
        <w:t xml:space="preserve"> reporting.</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Official Arrears:</w:t>
      </w:r>
      <w:r w:rsidDel="00000000" w:rsidR="00000000" w:rsidRPr="00000000">
        <w:rPr>
          <w:rFonts w:ascii="Google Sans Text" w:cs="Google Sans Text" w:eastAsia="Google Sans Text" w:hAnsi="Google Sans Text"/>
          <w:color w:val="1f1f1f"/>
          <w:rtl w:val="0"/>
        </w:rPr>
        <w:t xml:space="preserve"> Reported arrears rates (loans 90+ days past due) remain historically low, often hovering around 0.6% to 1.0%.</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5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Hardship Reality:</w:t>
      </w:r>
      <w:r w:rsidDel="00000000" w:rsidR="00000000" w:rsidRPr="00000000">
        <w:rPr>
          <w:rFonts w:ascii="Google Sans Text" w:cs="Google Sans Text" w:eastAsia="Google Sans Text" w:hAnsi="Google Sans Text"/>
          <w:color w:val="1f1f1f"/>
          <w:rtl w:val="0"/>
        </w:rPr>
        <w:t xml:space="preserve"> Conversely, data from the Australian Financial Complaints Authority (AFCA) and consumer credit bodies show a surge in hardship requests. In 2024-25, complaints about banks failing to respond to hardship requests rose significantly.</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Regulatory Arbitrage:</w:t>
      </w:r>
      <w:r w:rsidDel="00000000" w:rsidR="00000000" w:rsidRPr="00000000">
        <w:rPr>
          <w:rFonts w:ascii="Google Sans Text" w:cs="Google Sans Text" w:eastAsia="Google Sans Text" w:hAnsi="Google Sans Text"/>
          <w:color w:val="1f1f1f"/>
          <w:rtl w:val="0"/>
        </w:rPr>
        <w:t xml:space="preserve"> When a customer enters a "hardship arrangement" (e.g., a payment pause or interest-only period), the loan is often not classified as "non-performing" in the same way a simple missed payment would be. This keeps the official NPL ratios artificially low, protecting the banks' credit ratings and stock prices.</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Analyst Insight:</w:t>
      </w:r>
      <w:r w:rsidDel="00000000" w:rsidR="00000000" w:rsidRPr="00000000">
        <w:rPr>
          <w:rFonts w:ascii="Google Sans Text" w:cs="Google Sans Text" w:eastAsia="Google Sans Text" w:hAnsi="Google Sans Text"/>
          <w:color w:val="1f1f1f"/>
          <w:rtl w:val="0"/>
        </w:rPr>
        <w:t xml:space="preserve"> Banking analyst Martin North (Digital Finance Analytics) has highlighted that rental stress and mortgage stress are far higher than official arrears suggest, indicating a "shadow" book of distressed loans that are being managed internally rather than reported as impairments.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Mechanism 2: The "Mortgage Prisoner" Trap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Minimisation Plan utilizes the "mortgage prisoner" phenomenon to stabilize bank balance sheets and margins.</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Regulatory serviceability buffers—specifically APRA's requirement that banks test if a borrower can afford a rate 3% higher than the current rate—mean that many existing borrowers cannot refinance to a cheaper lender. Even if they have a perfect repayment history, they fail the "stress test" for a new loan at a different bank.</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Bank Benefit:</w:t>
      </w:r>
      <w:r w:rsidDel="00000000" w:rsidR="00000000" w:rsidRPr="00000000">
        <w:rPr>
          <w:rFonts w:ascii="Google Sans Text" w:cs="Google Sans Text" w:eastAsia="Google Sans Text" w:hAnsi="Google Sans Text"/>
          <w:color w:val="1f1f1f"/>
          <w:rtl w:val="0"/>
        </w:rPr>
        <w:t xml:space="preserve"> These customers are trapped with their current lender, often paying higher "back book" interest rates (the "loyalty tax"). This provides a stable, high-margin income stream for the bank, which subsidizes the aggressive discounts offered to new customers.</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Systemic Function:</w:t>
      </w:r>
      <w:r w:rsidDel="00000000" w:rsidR="00000000" w:rsidRPr="00000000">
        <w:rPr>
          <w:rFonts w:ascii="Google Sans Text" w:cs="Google Sans Text" w:eastAsia="Google Sans Text" w:hAnsi="Google Sans Text"/>
          <w:color w:val="1f1f1f"/>
          <w:rtl w:val="0"/>
        </w:rPr>
        <w:t xml:space="preserve"> While detrimental to the consumer, this entrapment minimizes customer churn (run-off risk) for the banks. It ensures that a significant portion of the loan book remains sticky, securing the bank's asset base even as competition for new loans intensifies.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Mechanism 3: Regulatory Forbearance and Capital Ratios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Prudential Regulation Authority (APRA) enforces capital standards described as "unquestionably strong." However, the Minimisation Plan is evident in the specific calibration of these rules.</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Weighting:</w:t>
      </w:r>
      <w:r w:rsidDel="00000000" w:rsidR="00000000" w:rsidRPr="00000000">
        <w:rPr>
          <w:rFonts w:ascii="Google Sans Text" w:cs="Google Sans Text" w:eastAsia="Google Sans Text" w:hAnsi="Google Sans Text"/>
          <w:color w:val="1f1f1f"/>
          <w:rtl w:val="0"/>
        </w:rPr>
        <w:t xml:space="preserve"> Australian banks use the Internal Ratings-Based (IRB) approach for capital, which allows them to use their own models to estimate risk. Mortgage risk weights in Australia are notoriously low compared to other jurisdictions, meaning banks hold less capital against each dollar lent for housing. This leverages the system, boosting Return on Equity (ROE) but reducing the buffer against a housing crash.</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DTI Limits:</w:t>
      </w:r>
      <w:r w:rsidDel="00000000" w:rsidR="00000000" w:rsidRPr="00000000">
        <w:rPr>
          <w:rFonts w:ascii="Google Sans Text" w:cs="Google Sans Text" w:eastAsia="Google Sans Text" w:hAnsi="Google Sans Text"/>
          <w:color w:val="1f1f1f"/>
          <w:rtl w:val="0"/>
        </w:rPr>
        <w:t xml:space="preserve"> APRA introduced Debt-to-Income (DTI) limits to curb risky lending, but these were designed as "soft" caps (e.g., limiting high DTI loans to 20% of new lending). This allowed banks to continue high-leverage lending up to a threshold, managing the </w:t>
      </w:r>
      <w:r w:rsidDel="00000000" w:rsidR="00000000" w:rsidRPr="00000000">
        <w:rPr>
          <w:rFonts w:ascii="Google Sans Text" w:cs="Google Sans Text" w:eastAsia="Google Sans Text" w:hAnsi="Google Sans Text"/>
          <w:i w:val="1"/>
          <w:iCs w:val="1"/>
          <w:color w:val="1f1f1f"/>
          <w:rtl w:val="0"/>
        </w:rPr>
        <w:t xml:space="preserve">optics</w:t>
      </w:r>
      <w:r w:rsidDel="00000000" w:rsidR="00000000" w:rsidRPr="00000000">
        <w:rPr>
          <w:rFonts w:ascii="Google Sans Text" w:cs="Google Sans Text" w:eastAsia="Google Sans Text" w:hAnsi="Google Sans Text"/>
          <w:color w:val="1f1f1f"/>
          <w:rtl w:val="0"/>
        </w:rPr>
        <w:t xml:space="preserve"> of risk without turning off the credit tap that fuels house prices.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Housing Insolvency Risks: The Collateral Crisis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solvency of the Australian banking sector is inextricably linked to residential property prices. Mortgages constitute upwards of 60% of the Big Four's loan books. A significant correction in housing values would erode the capital base of the banks, potentially triggering insolvency.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"Widow-Maker" Trade and the Bubble Thesis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Global hedge funds have periodically shorted Australian banks, betting on a housing crash. This is known as the "Widow-Maker" trade because the crash has largely failed to materialize, burning short-sellers like Variant Perception and Bronte Capital.</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Thesis:</w:t>
      </w:r>
      <w:r w:rsidDel="00000000" w:rsidR="00000000" w:rsidRPr="00000000">
        <w:rPr>
          <w:rFonts w:ascii="Google Sans Text" w:cs="Google Sans Text" w:eastAsia="Google Sans Text" w:hAnsi="Google Sans Text"/>
          <w:color w:val="1f1f1f"/>
          <w:rtl w:val="0"/>
        </w:rPr>
        <w:t xml:space="preserve"> Analysts like Jonathan Tepper have argued that Australia exhibits classic bubble characteristics: extreme household debt-to-GDP ratios (&gt;120%), a disconnect between wages and prices, and a reliance on interest-only lending.</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Resilience:</w:t>
      </w:r>
      <w:r w:rsidDel="00000000" w:rsidR="00000000" w:rsidRPr="00000000">
        <w:rPr>
          <w:rFonts w:ascii="Google Sans Text" w:cs="Google Sans Text" w:eastAsia="Google Sans Text" w:hAnsi="Google Sans Text"/>
          <w:color w:val="1f1f1f"/>
          <w:rtl w:val="0"/>
        </w:rPr>
        <w:t xml:space="preserve"> The crash has been averted so far due to:</w:t>
      </w:r>
    </w:p>
    <w:p w:rsidR="00000000" w:rsidDel="00000000" w:rsidP="00000000" w:rsidRDefault="00000000" w:rsidRPr="00000000" w14:paraId="0000006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Full Recourse Lending:</w:t>
      </w:r>
      <w:r w:rsidDel="00000000" w:rsidR="00000000" w:rsidRPr="00000000">
        <w:rPr>
          <w:rFonts w:ascii="Google Sans Text" w:cs="Google Sans Text" w:eastAsia="Google Sans Text" w:hAnsi="Google Sans Text"/>
          <w:color w:val="1f1f1f"/>
          <w:rtl w:val="0"/>
        </w:rPr>
        <w:t xml:space="preserve"> Unlike in the US, Australian borrowers cannot simply walk away from their debt (jingle mail). They remain personally liable, incentivizing them to prioritize mortgage payments above all else.</w:t>
      </w:r>
    </w:p>
    <w:p w:rsidR="00000000" w:rsidDel="00000000" w:rsidP="00000000" w:rsidRDefault="00000000" w:rsidRPr="00000000" w14:paraId="0000006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Shadow Inventory:</w:t>
      </w:r>
      <w:r w:rsidDel="00000000" w:rsidR="00000000" w:rsidRPr="00000000">
        <w:rPr>
          <w:rFonts w:ascii="Google Sans Text" w:cs="Google Sans Text" w:eastAsia="Google Sans Text" w:hAnsi="Google Sans Text"/>
          <w:color w:val="1f1f1f"/>
          <w:rtl w:val="0"/>
        </w:rPr>
        <w:t xml:space="preserve"> Banks and vendors hold distressed stock off the market to prevent price discovery.</w:t>
      </w:r>
    </w:p>
    <w:p w:rsidR="00000000" w:rsidDel="00000000" w:rsidP="00000000" w:rsidRDefault="00000000" w:rsidRPr="00000000" w14:paraId="00000069">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Migration:</w:t>
      </w:r>
      <w:r w:rsidDel="00000000" w:rsidR="00000000" w:rsidRPr="00000000">
        <w:rPr>
          <w:rFonts w:ascii="Google Sans Text" w:cs="Google Sans Text" w:eastAsia="Google Sans Text" w:hAnsi="Google Sans Text"/>
          <w:color w:val="1f1f1f"/>
          <w:rtl w:val="0"/>
        </w:rPr>
        <w:t xml:space="preserve"> Record high immigration injects demand at the bottom of the pyramid, putting a floor under rents and prices.</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2025-2026 Danger Zone: Negative Equity and Forced Sales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past resilience, the 2025-2026 period presents acute risks.</w:t>
      </w:r>
    </w:p>
    <w:p w:rsidR="00000000" w:rsidDel="00000000" w:rsidP="00000000" w:rsidRDefault="00000000" w:rsidRPr="00000000" w14:paraId="0000006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Equity:</w:t>
      </w:r>
      <w:r w:rsidDel="00000000" w:rsidR="00000000" w:rsidRPr="00000000">
        <w:rPr>
          <w:rFonts w:ascii="Google Sans Text" w:cs="Google Sans Text" w:eastAsia="Google Sans Text" w:hAnsi="Google Sans Text"/>
          <w:color w:val="1f1f1f"/>
          <w:rtl w:val="0"/>
        </w:rPr>
        <w:t xml:space="preserve"> As of late 2025, price growth in Sydney and Melbourne has stalled, with some segments seeing declines. Borrowers who purchased at the peak (2021-2022) with low deposits (e.g., 5% via government schemes) are now at high risk of negative equity. If prices fall by just 10-15%, the collateral value drops below the loan value.</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Forced Sales:</w:t>
      </w:r>
      <w:r w:rsidDel="00000000" w:rsidR="00000000" w:rsidRPr="00000000">
        <w:rPr>
          <w:rFonts w:ascii="Google Sans Text" w:cs="Google Sans Text" w:eastAsia="Google Sans Text" w:hAnsi="Google Sans Text"/>
          <w:color w:val="1f1f1f"/>
          <w:rtl w:val="0"/>
        </w:rPr>
        <w:t xml:space="preserve"> The "extend and pretend" strategy has a limit. If unemployment rises—a lagging indicator of the RBA's rate hikes—banks will be forced to foreclose. Reports indicate that forced listings are beginning to rise in sensitive corridors like Western Sydney and Melbourne's growth belts.</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Valuation Gap:</w:t>
      </w:r>
      <w:r w:rsidDel="00000000" w:rsidR="00000000" w:rsidRPr="00000000">
        <w:rPr>
          <w:rFonts w:ascii="Google Sans Text" w:cs="Google Sans Text" w:eastAsia="Google Sans Text" w:hAnsi="Google Sans Text"/>
          <w:color w:val="1f1f1f"/>
          <w:rtl w:val="0"/>
        </w:rPr>
        <w:t xml:space="preserve"> Banks often use Automated Valuation Models (AVMs) or indexation to value their collateral. In a turning market, these models lag, potentially overstating the quality of the bank's loan book and capital ratios.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Shadow Inventory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of "Shadow Inventory" is critical to understanding the hidden insolvency. This refers to properties that are effectively distressed but are kept off the open market.</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Lenders may allow borrowers to accrue arrears or switch to interest-only terms to avoid a forced sale that would crystalize a loss for the bank. This inventory acts as a dam; if it breaks, it floods the market, collapsing prices.</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disparity between the volume of "hardship" arrangements and the low volume of foreclosures suggests a significant stockpile of shadow inventory is being managed within the banking system.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Geopolitical Influence: Who Holds the Leverage?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ownership and funding of Australian banks create distinct geopolitical leverage points, shifting the locus of control away from domestic policymakers.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US-Centric ESG Axis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dominance of BlackRock, Vanguard, and State Street integrates Australian banking into the US corporate governance sphere.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Influence:</w:t>
      </w:r>
      <w:r w:rsidDel="00000000" w:rsidR="00000000" w:rsidRPr="00000000">
        <w:rPr>
          <w:rFonts w:ascii="Google Sans Text" w:cs="Google Sans Text" w:eastAsia="Google Sans Text" w:hAnsi="Google Sans Text"/>
          <w:color w:val="1f1f1f"/>
          <w:rtl w:val="0"/>
        </w:rPr>
        <w:t xml:space="preserve"> These entities hold the "Ideological Share." They use their voting power to align Australian banks with global ESG frameworks. This creates friction with Australia's resource-exporting economy. For instance, banks may refuse to fund new coal projects to satisfy BlackRock's net-zero commitments, even if those projects are profitable and legal under Australian law. This represents a de facto outsourcing of Australian industrial policy.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Point:</w:t>
      </w:r>
      <w:r w:rsidDel="00000000" w:rsidR="00000000" w:rsidRPr="00000000">
        <w:rPr>
          <w:rFonts w:ascii="Google Sans Text" w:cs="Google Sans Text" w:eastAsia="Google Sans Text" w:hAnsi="Google Sans Text"/>
          <w:color w:val="1f1f1f"/>
          <w:rtl w:val="0"/>
        </w:rPr>
        <w:t xml:space="preserve"> In the 2024 AGM season, BlackRock voted against directors at companies that failed to meet its climate disclosure expectations, signaling that access to capital is contingent on ideological compliance.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Japanese Creditor Leverage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Japan's role as the primary offshore creditor creates a dependency on Tokyo's monetary policy.</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A decision by the Bank of Japan to raise rates or reduce bond buying draws Japanese capital back home. This "capital flight" would drain liquidity from the Australian banking system.</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To replace this funding, Australian banks would have to pay significantly higher rates in US or European markets, forcing up domestic mortgage rates independent of the RBA. This aligns Australia's financial stability with the decisions of the Japanese central bank.</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China's Waning but Latent Influence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China's influence has shifted from direct equity to broad economic leverage. While entities like SAFE (State Administration of Foreign Exchange) and CIC are less visible on bank share registries than in the past, China's economic health dictates the commodity prices that underpin the Australian dollar and national income.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Transmission:</w:t>
      </w:r>
      <w:r w:rsidDel="00000000" w:rsidR="00000000" w:rsidRPr="00000000">
        <w:rPr>
          <w:rFonts w:ascii="Google Sans Text" w:cs="Google Sans Text" w:eastAsia="Google Sans Text" w:hAnsi="Google Sans Text"/>
          <w:color w:val="1f1f1f"/>
          <w:rtl w:val="0"/>
        </w:rPr>
        <w:t xml:space="preserve"> A collapse in Chinese growth transmits directly to Australian bank solvency via the unemployment channel (mining and construction jobs). Additionally, Chinese state-owned banks operate in Australia, funding specific development projects, but their pullback in recent years has left a funding gap that Japanese banks have filled.</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Conclusions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indicates that the Australian banking sector is a highly leveraged conduit for foreign capital, underpinned by a domestic </w:t>
      </w:r>
      <w:r w:rsidDel="00000000" w:rsidR="00000000" w:rsidRPr="00000000">
        <w:rPr>
          <w:rFonts w:ascii="Google Sans Text" w:cs="Google Sans Text" w:eastAsia="Google Sans Text" w:hAnsi="Google Sans Text"/>
          <w:b w:val="1"/>
          <w:bCs w:val="1"/>
          <w:color w:val="1f1f1f"/>
          <w:rtl w:val="0"/>
        </w:rPr>
        <w:t xml:space="preserve">"Minimisation Plan"</w:t>
      </w:r>
      <w:r w:rsidDel="00000000" w:rsidR="00000000" w:rsidRPr="00000000">
        <w:rPr>
          <w:rFonts w:ascii="Google Sans Text" w:cs="Google Sans Text" w:eastAsia="Google Sans Text" w:hAnsi="Google Sans Text"/>
          <w:color w:val="1f1f1f"/>
          <w:rtl w:val="0"/>
        </w:rPr>
        <w:t xml:space="preserve"> designed to mask insolvency risks.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Findings:</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Foreign Backers:</w:t>
      </w:r>
      <w:r w:rsidDel="00000000" w:rsidR="00000000" w:rsidRPr="00000000">
        <w:rPr>
          <w:rFonts w:ascii="Google Sans Text" w:cs="Google Sans Text" w:eastAsia="Google Sans Text" w:hAnsi="Google Sans Text"/>
          <w:color w:val="1f1f1f"/>
          <w:rtl w:val="0"/>
        </w:rPr>
        <w:t xml:space="preserve"> The equity is owned by </w:t>
      </w:r>
      <w:r w:rsidDel="00000000" w:rsidR="00000000" w:rsidRPr="00000000">
        <w:rPr>
          <w:rFonts w:ascii="Google Sans Text" w:cs="Google Sans Text" w:eastAsia="Google Sans Text" w:hAnsi="Google Sans Text"/>
          <w:b w:val="1"/>
          <w:bCs w:val="1"/>
          <w:color w:val="1f1f1f"/>
          <w:rtl w:val="0"/>
        </w:rPr>
        <w:t xml:space="preserve">US passive index funds</w:t>
      </w:r>
      <w:r w:rsidDel="00000000" w:rsidR="00000000" w:rsidRPr="00000000">
        <w:rPr>
          <w:rFonts w:ascii="Google Sans Text" w:cs="Google Sans Text" w:eastAsia="Google Sans Text" w:hAnsi="Google Sans Text"/>
          <w:color w:val="1f1f1f"/>
          <w:rtl w:val="0"/>
        </w:rPr>
        <w:t xml:space="preserve"> (BlackRock, Vanguard, State Street) who enforce ideological compliance through ESG mandates. The debt is increasingly funded by </w:t>
      </w:r>
      <w:r w:rsidDel="00000000" w:rsidR="00000000" w:rsidRPr="00000000">
        <w:rPr>
          <w:rFonts w:ascii="Google Sans Text" w:cs="Google Sans Text" w:eastAsia="Google Sans Text" w:hAnsi="Google Sans Text"/>
          <w:b w:val="1"/>
          <w:bCs w:val="1"/>
          <w:color w:val="1f1f1f"/>
          <w:rtl w:val="0"/>
        </w:rPr>
        <w:t xml:space="preserve">Japanese institutional capital</w:t>
      </w:r>
      <w:r w:rsidDel="00000000" w:rsidR="00000000" w:rsidRPr="00000000">
        <w:rPr>
          <w:rFonts w:ascii="Google Sans Text" w:cs="Google Sans Text" w:eastAsia="Google Sans Text" w:hAnsi="Google Sans Text"/>
          <w:color w:val="1f1f1f"/>
          <w:rtl w:val="0"/>
        </w:rPr>
        <w:t xml:space="preserve">, creating a critical vulnerability to Tokyo's monetary policy.</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Minimisation Plan:</w:t>
      </w:r>
      <w:r w:rsidDel="00000000" w:rsidR="00000000" w:rsidRPr="00000000">
        <w:rPr>
          <w:rFonts w:ascii="Google Sans Text" w:cs="Google Sans Text" w:eastAsia="Google Sans Text" w:hAnsi="Google Sans Text"/>
          <w:color w:val="1f1f1f"/>
          <w:rtl w:val="0"/>
        </w:rPr>
        <w:t xml:space="preserve"> This is a functional reality involving </w:t>
      </w:r>
      <w:r w:rsidDel="00000000" w:rsidR="00000000" w:rsidRPr="00000000">
        <w:rPr>
          <w:rFonts w:ascii="Google Sans Text" w:cs="Google Sans Text" w:eastAsia="Google Sans Text" w:hAnsi="Google Sans Text"/>
          <w:b w:val="1"/>
          <w:bCs w:val="1"/>
          <w:color w:val="1f1f1f"/>
          <w:rtl w:val="0"/>
        </w:rPr>
        <w:t xml:space="preserve">"extend and pretend"</w:t>
      </w:r>
      <w:r w:rsidDel="00000000" w:rsidR="00000000" w:rsidRPr="00000000">
        <w:rPr>
          <w:rFonts w:ascii="Google Sans Text" w:cs="Google Sans Text" w:eastAsia="Google Sans Text" w:hAnsi="Google Sans Text"/>
          <w:color w:val="1f1f1f"/>
          <w:rtl w:val="0"/>
        </w:rPr>
        <w:t xml:space="preserve"> lending, </w:t>
      </w:r>
      <w:r w:rsidDel="00000000" w:rsidR="00000000" w:rsidRPr="00000000">
        <w:rPr>
          <w:rFonts w:ascii="Google Sans Text" w:cs="Google Sans Text" w:eastAsia="Google Sans Text" w:hAnsi="Google Sans Text"/>
          <w:b w:val="1"/>
          <w:bCs w:val="1"/>
          <w:color w:val="1f1f1f"/>
          <w:rtl w:val="0"/>
        </w:rPr>
        <w:t xml:space="preserve">regulatory forbearance</w:t>
      </w:r>
      <w:r w:rsidDel="00000000" w:rsidR="00000000" w:rsidRPr="00000000">
        <w:rPr>
          <w:rFonts w:ascii="Google Sans Text" w:cs="Google Sans Text" w:eastAsia="Google Sans Text" w:hAnsi="Google Sans Text"/>
          <w:color w:val="1f1f1f"/>
          <w:rtl w:val="0"/>
        </w:rPr>
        <w:t xml:space="preserve"> on arrears reporting, and the exploitation of </w:t>
      </w:r>
      <w:r w:rsidDel="00000000" w:rsidR="00000000" w:rsidRPr="00000000">
        <w:rPr>
          <w:rFonts w:ascii="Google Sans Text" w:cs="Google Sans Text" w:eastAsia="Google Sans Text" w:hAnsi="Google Sans Text"/>
          <w:b w:val="1"/>
          <w:bCs w:val="1"/>
          <w:color w:val="1f1f1f"/>
          <w:rtl w:val="0"/>
        </w:rPr>
        <w:t xml:space="preserve">mortgage prisoners</w:t>
      </w:r>
      <w:r w:rsidDel="00000000" w:rsidR="00000000" w:rsidRPr="00000000">
        <w:rPr>
          <w:rFonts w:ascii="Google Sans Text" w:cs="Google Sans Text" w:eastAsia="Google Sans Text" w:hAnsi="Google Sans Text"/>
          <w:color w:val="1f1f1f"/>
          <w:rtl w:val="0"/>
        </w:rPr>
        <w:t xml:space="preserve"> to stabilize bank margins. It is a strategy of delay, designed to prevent the crystallization of losses that would reveal the true state of asset quality.</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Insolvency Risk:</w:t>
      </w:r>
      <w:r w:rsidDel="00000000" w:rsidR="00000000" w:rsidRPr="00000000">
        <w:rPr>
          <w:rFonts w:ascii="Google Sans Text" w:cs="Google Sans Text" w:eastAsia="Google Sans Text" w:hAnsi="Google Sans Text"/>
          <w:color w:val="1f1f1f"/>
          <w:rtl w:val="0"/>
        </w:rPr>
        <w:t xml:space="preserve"> The risk is concentrated in the </w:t>
      </w:r>
      <w:r w:rsidDel="00000000" w:rsidR="00000000" w:rsidRPr="00000000">
        <w:rPr>
          <w:rFonts w:ascii="Google Sans Text" w:cs="Google Sans Text" w:eastAsia="Google Sans Text" w:hAnsi="Google Sans Text"/>
          <w:b w:val="1"/>
          <w:bCs w:val="1"/>
          <w:color w:val="1f1f1f"/>
          <w:rtl w:val="0"/>
        </w:rPr>
        <w:t xml:space="preserve">housing market</w:t>
      </w:r>
      <w:r w:rsidDel="00000000" w:rsidR="00000000" w:rsidRPr="00000000">
        <w:rPr>
          <w:rFonts w:ascii="Google Sans Text" w:cs="Google Sans Text" w:eastAsia="Google Sans Text" w:hAnsi="Google Sans Text"/>
          <w:color w:val="1f1f1f"/>
          <w:rtl w:val="0"/>
        </w:rPr>
        <w:t xml:space="preserve">. The banks are solvent only as long as employment remains high and property prices do not collapse. The reliance on </w:t>
      </w:r>
      <w:r w:rsidDel="00000000" w:rsidR="00000000" w:rsidRPr="00000000">
        <w:rPr>
          <w:rFonts w:ascii="Google Sans Text" w:cs="Google Sans Text" w:eastAsia="Google Sans Text" w:hAnsi="Google Sans Text"/>
          <w:b w:val="1"/>
          <w:bCs w:val="1"/>
          <w:color w:val="1f1f1f"/>
          <w:rtl w:val="0"/>
        </w:rPr>
        <w:t xml:space="preserve">Covered Bonds</w:t>
      </w:r>
      <w:r w:rsidDel="00000000" w:rsidR="00000000" w:rsidRPr="00000000">
        <w:rPr>
          <w:rFonts w:ascii="Google Sans Text" w:cs="Google Sans Text" w:eastAsia="Google Sans Text" w:hAnsi="Google Sans Text"/>
          <w:color w:val="1f1f1f"/>
          <w:rtl w:val="0"/>
        </w:rPr>
        <w:t xml:space="preserve"> (encumbering prime assets) suggests that banks are preparing for a scenario where unsecured funding becomes inaccessible.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Ideological Influence:</w:t>
      </w:r>
      <w:r w:rsidDel="00000000" w:rsidR="00000000" w:rsidRPr="00000000">
        <w:rPr>
          <w:rFonts w:ascii="Google Sans Text" w:cs="Google Sans Text" w:eastAsia="Google Sans Text" w:hAnsi="Google Sans Text"/>
          <w:color w:val="1f1f1f"/>
          <w:rtl w:val="0"/>
        </w:rPr>
        <w:t xml:space="preserve"> The "Big Three" US asset managers hold the ideological share, effectively overriding domestic interests to enforce global ESG mandates. This has led to the "de-banking" of lawful Australian industries that fall outside the US-centric ESG taxonomy.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stability of the "Big Four" is not a reflection of inherent strength, but of successful </w:t>
      </w:r>
      <w:r w:rsidDel="00000000" w:rsidR="00000000" w:rsidRPr="00000000">
        <w:rPr>
          <w:rFonts w:ascii="Google Sans Text" w:cs="Google Sans Text" w:eastAsia="Google Sans Text" w:hAnsi="Google Sans Text"/>
          <w:b w:val="1"/>
          <w:bCs w:val="1"/>
          <w:color w:val="1f1f1f"/>
          <w:rtl w:val="0"/>
        </w:rPr>
        <w:t xml:space="preserve">risk suppression</w:t>
      </w:r>
      <w:r w:rsidDel="00000000" w:rsidR="00000000" w:rsidRPr="00000000">
        <w:rPr>
          <w:rFonts w:ascii="Google Sans Text" w:cs="Google Sans Text" w:eastAsia="Google Sans Text" w:hAnsi="Google Sans Text"/>
          <w:color w:val="1f1f1f"/>
          <w:rtl w:val="0"/>
        </w:rPr>
        <w:t xml:space="preserve">. As global liquidity tightens and the TFF buffer expires, the capacity to maintain this suppression is reaching its limits. The system is resilient to minor shocks but structurally fragile to a major liquidity event or a spike in unemployment.</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The Hierarchy of Influence in Australian Banking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Entity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Form of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to Australia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Global Asset Managers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BlackRock, Vanguard,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Voting Control</w:t>
            </w:r>
            <w:r w:rsidDel="00000000" w:rsidR="00000000" w:rsidRPr="00000000">
              <w:rPr>
                <w:rFonts w:ascii="Google Sans Text" w:cs="Google Sans Text" w:eastAsia="Google Sans Text" w:hAnsi="Google Sans Text"/>
                <w:color w:val="1f1f1f"/>
                <w:shd w:fill="auto" w:val="clear"/>
                <w:rtl w:val="0"/>
              </w:rPr>
              <w:t xml:space="preserve">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Imposition of ESG policies; De-banking of local industries; Board appointments.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Offshore Creditors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MUFG, SMBC, European Pension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Liquidity Provision</w:t>
            </w:r>
            <w:r w:rsidDel="00000000" w:rsidR="00000000" w:rsidRPr="00000000">
              <w:rPr>
                <w:rFonts w:ascii="Google Sans Text" w:cs="Google Sans Text" w:eastAsia="Google Sans Text" w:hAnsi="Google Sans Text"/>
                <w:color w:val="1f1f1f"/>
                <w:shd w:fill="auto" w:val="clear"/>
                <w:rtl w:val="0"/>
              </w:rPr>
              <w:t xml:space="preserve">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Funding strikes; Repricing of risk (higher mortgage rates); Carry trade reversals.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Regulators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APRA, RBA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Rule-Setting</w:t>
            </w:r>
            <w:r w:rsidDel="00000000" w:rsidR="00000000" w:rsidRPr="00000000">
              <w:rPr>
                <w:rFonts w:ascii="Google Sans Text" w:cs="Google Sans Text" w:eastAsia="Google Sans Text" w:hAnsi="Google Sans Text"/>
                <w:color w:val="1f1f1f"/>
                <w:shd w:fill="auto" w:val="clear"/>
                <w:rtl w:val="0"/>
              </w:rPr>
              <w:t xml:space="preserve"> (Minimisation)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Moral hazard; delay of necessary corrections ("kicking the can"); Subsidy via TFF.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Domestic Depositors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Australian Households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Capital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Unsecured creditors in a "bail-in" scenario; Inflation erosion of savings.</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ecosystem is stable only as long as the flows of foreign capital remain uninterrupted and the Australian borrower remains employed. A rupture in either line would expose the fragility of the Minimisation Plan and the insolvency risks it conceals.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 Funding Facility - Reserve Bank of Australia, accessed January 30, 2026, </w:t>
      </w:r>
      <w:hyperlink r:id="rId6">
        <w:r w:rsidDel="00000000" w:rsidR="00000000" w:rsidRPr="00000000">
          <w:rPr>
            <w:rFonts w:ascii="Google Sans" w:cs="Google Sans" w:eastAsia="Google Sans" w:hAnsi="Google Sans"/>
            <w:color w:val="0000ee"/>
            <w:sz w:val="24"/>
            <w:szCs w:val="24"/>
            <w:u w:val="single"/>
            <w:rtl w:val="0"/>
          </w:rPr>
          <w:t xml:space="preserve">https://www.rba.gov.au/mkt-operations/term-funding-facility/</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pivot as RBA drains liquidity - Investor Daily, accessed January 30, 2026, </w:t>
      </w:r>
      <w:hyperlink r:id="rId7">
        <w:r w:rsidDel="00000000" w:rsidR="00000000" w:rsidRPr="00000000">
          <w:rPr>
            <w:rFonts w:ascii="Google Sans" w:cs="Google Sans" w:eastAsia="Google Sans" w:hAnsi="Google Sans"/>
            <w:color w:val="0000ee"/>
            <w:sz w:val="24"/>
            <w:szCs w:val="24"/>
            <w:u w:val="single"/>
            <w:rtl w:val="0"/>
          </w:rPr>
          <w:t xml:space="preserve">https://www.investordaily.com.au/banks-pivot-as-rba-drains-liquidity/</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Is the worst yet to come? - Intelligent Investor, accessed January 30, 2026, </w:t>
      </w:r>
      <w:hyperlink r:id="rId8">
        <w:r w:rsidDel="00000000" w:rsidR="00000000" w:rsidRPr="00000000">
          <w:rPr>
            <w:rFonts w:ascii="Google Sans" w:cs="Google Sans" w:eastAsia="Google Sans" w:hAnsi="Google Sans"/>
            <w:color w:val="0000ee"/>
            <w:sz w:val="24"/>
            <w:szCs w:val="24"/>
            <w:u w:val="single"/>
            <w:rtl w:val="0"/>
          </w:rPr>
          <w:t xml:space="preserve">https://www.intelligentinvestor.com.au/recommendations/banks-is-the-worst-yet-to-come/148678</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activists get a boost from BlackRock - Morningstar Australia, accessed January 30, 2026, </w:t>
      </w:r>
      <w:hyperlink r:id="rId9">
        <w:r w:rsidDel="00000000" w:rsidR="00000000" w:rsidRPr="00000000">
          <w:rPr>
            <w:rFonts w:ascii="Google Sans" w:cs="Google Sans" w:eastAsia="Google Sans" w:hAnsi="Google Sans"/>
            <w:color w:val="0000ee"/>
            <w:sz w:val="24"/>
            <w:szCs w:val="24"/>
            <w:u w:val="single"/>
            <w:rtl w:val="0"/>
          </w:rPr>
          <w:t xml:space="preserve">https://www.morningstar.com.au/markets/climate-activists-get-a-boost-from-blackrock</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Vanguard and State Street are the real power behind Big Oil's climate retreat, report finds - Queen Mary University of London, accessed January 30, 2026, </w:t>
      </w:r>
      <w:hyperlink r:id="rId10">
        <w:r w:rsidDel="00000000" w:rsidR="00000000" w:rsidRPr="00000000">
          <w:rPr>
            <w:rFonts w:ascii="Google Sans" w:cs="Google Sans" w:eastAsia="Google Sans" w:hAnsi="Google Sans"/>
            <w:color w:val="0000ee"/>
            <w:sz w:val="24"/>
            <w:szCs w:val="24"/>
            <w:u w:val="single"/>
            <w:rtl w:val="0"/>
          </w:rPr>
          <w:t xml:space="preserve">https://www.qmul.ac.uk/media/news/2025/humanities-and-social-sciences/hss/blackrock-vanguard-and-state-street-are-the-real-power-behind-big-oils-climate-retreat-report-finds.html</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Sustainability Disclosure - BlackRock, accessed January 30, 2026, </w:t>
      </w:r>
      <w:hyperlink r:id="rId11">
        <w:r w:rsidDel="00000000" w:rsidR="00000000" w:rsidRPr="00000000">
          <w:rPr>
            <w:rFonts w:ascii="Google Sans" w:cs="Google Sans" w:eastAsia="Google Sans" w:hAnsi="Google Sans"/>
            <w:color w:val="0000ee"/>
            <w:sz w:val="24"/>
            <w:szCs w:val="24"/>
            <w:u w:val="single"/>
            <w:rtl w:val="0"/>
          </w:rPr>
          <w:t xml:space="preserve">https://www.blackrock.com/corporate/literature/continuous-disclosure-and-important-information/blackrock-sustainability-disclosure.pdf</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Australia Regional Brief - Vanguard, accessed January 30, 2026, </w:t>
      </w:r>
      <w:hyperlink r:id="rId12">
        <w:r w:rsidDel="00000000" w:rsidR="00000000" w:rsidRPr="00000000">
          <w:rPr>
            <w:rFonts w:ascii="Google Sans" w:cs="Google Sans" w:eastAsia="Google Sans" w:hAnsi="Google Sans"/>
            <w:color w:val="0000ee"/>
            <w:sz w:val="24"/>
            <w:szCs w:val="24"/>
            <w:u w:val="single"/>
            <w:rtl w:val="0"/>
          </w:rPr>
          <w:t xml:space="preserve">https://corporate.vanguard.com/content/dam/corp/advocate/investment-stewardship/pdf/policies-and-reports/aus_2024_regional_brief.pdf</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Stewardship 2024 Annual Report - Vanguard, accessed January 30, 2026, </w:t>
      </w:r>
      <w:hyperlink r:id="rId13">
        <w:r w:rsidDel="00000000" w:rsidR="00000000" w:rsidRPr="00000000">
          <w:rPr>
            <w:rFonts w:ascii="Google Sans" w:cs="Google Sans" w:eastAsia="Google Sans" w:hAnsi="Google Sans"/>
            <w:color w:val="0000ee"/>
            <w:sz w:val="24"/>
            <w:szCs w:val="24"/>
            <w:u w:val="single"/>
            <w:rtl w:val="0"/>
          </w:rPr>
          <w:t xml:space="preserve">https://corporate.vanguard.com/content/dam/corp/advocate/investment-stewardship/pdf/policies-and-reports/2024_investment_stewardship_annual_report.pdf?tipo-di-prodotto=fondi-comuni</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Stewardship Activity Report - The Harvard Law School Forum on Corporate Governance, accessed January 30, 2026, </w:t>
      </w:r>
      <w:hyperlink r:id="rId14">
        <w:r w:rsidDel="00000000" w:rsidR="00000000" w:rsidRPr="00000000">
          <w:rPr>
            <w:rFonts w:ascii="Google Sans" w:cs="Google Sans" w:eastAsia="Google Sans" w:hAnsi="Google Sans"/>
            <w:color w:val="0000ee"/>
            <w:sz w:val="24"/>
            <w:szCs w:val="24"/>
            <w:u w:val="single"/>
            <w:rtl w:val="0"/>
          </w:rPr>
          <w:t xml:space="preserve">https://corpgov.law.harvard.edu/wp-content/uploads/2023/04/asset-stewardship-report-q4-2022.pdf</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Stewardship Report 2024 - State Street Global Advisors, accessed January 30, 2026, </w:t>
      </w:r>
      <w:hyperlink r:id="rId15">
        <w:r w:rsidDel="00000000" w:rsidR="00000000" w:rsidRPr="00000000">
          <w:rPr>
            <w:rFonts w:ascii="Google Sans" w:cs="Google Sans" w:eastAsia="Google Sans" w:hAnsi="Google Sans"/>
            <w:color w:val="0000ee"/>
            <w:sz w:val="24"/>
            <w:szCs w:val="24"/>
            <w:u w:val="single"/>
            <w:rtl w:val="0"/>
          </w:rPr>
          <w:t xml:space="preserve">https://www.ssga.com/library-content/assets/pdf/global/asset-stewardship/2025/inst-2024-asset-stewardship-report-generic.pdf</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Banks See Rise in Institutional, Offshore Ownership, Jarden Says - Moomoo, accessed January 30, 2026, </w:t>
      </w:r>
      <w:hyperlink r:id="rId16">
        <w:r w:rsidDel="00000000" w:rsidR="00000000" w:rsidRPr="00000000">
          <w:rPr>
            <w:rFonts w:ascii="Google Sans" w:cs="Google Sans" w:eastAsia="Google Sans" w:hAnsi="Google Sans"/>
            <w:color w:val="0000ee"/>
            <w:sz w:val="24"/>
            <w:szCs w:val="24"/>
            <w:u w:val="single"/>
            <w:rtl w:val="0"/>
          </w:rPr>
          <w:t xml:space="preserve">https://www.moomoo.com/news/post/55367514/australian-banks-see-rise-in-institutional-offshore-ownership-jarden-says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Investors in Australia's biggest banks face muted 2025 after strong gains - S&amp;P Global, accessed January 30, 2026, </w:t>
      </w:r>
      <w:hyperlink r:id="rId17">
        <w:r w:rsidDel="00000000" w:rsidR="00000000" w:rsidRPr="00000000">
          <w:rPr>
            <w:rFonts w:ascii="Google Sans" w:cs="Google Sans" w:eastAsia="Google Sans" w:hAnsi="Google Sans"/>
            <w:color w:val="0000ee"/>
            <w:sz w:val="24"/>
            <w:szCs w:val="24"/>
            <w:u w:val="single"/>
            <w:rtl w:val="0"/>
          </w:rPr>
          <w:t xml:space="preserve">https://www.spglobal.com/market-intelligence/en/news-insights/articles/2025/1/investors-in-australia-s-biggest-banks-face-muted-2025-after-strong-gains-86839076</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and rise of the big banks - The Australia Institute, accessed January 30, 2026, </w:t>
      </w:r>
      <w:hyperlink r:id="rId18">
        <w:r w:rsidDel="00000000" w:rsidR="00000000" w:rsidRPr="00000000">
          <w:rPr>
            <w:rFonts w:ascii="Google Sans" w:cs="Google Sans" w:eastAsia="Google Sans" w:hAnsi="Google Sans"/>
            <w:color w:val="0000ee"/>
            <w:sz w:val="24"/>
            <w:szCs w:val="24"/>
            <w:u w:val="single"/>
            <w:rtl w:val="0"/>
          </w:rPr>
          <w:t xml:space="preserve">https://australiainstitute.org.au/wp-content/uploads/2020/12/TB-15-The-rise-and-rise-of-the-big-banks_4.pdf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Norges Bank Investment Management: The fund, accessed January 30, 2026, </w:t>
      </w:r>
      <w:hyperlink r:id="rId19">
        <w:r w:rsidDel="00000000" w:rsidR="00000000" w:rsidRPr="00000000">
          <w:rPr>
            <w:rFonts w:ascii="Google Sans" w:cs="Google Sans" w:eastAsia="Google Sans" w:hAnsi="Google Sans"/>
            <w:color w:val="0000ee"/>
            <w:sz w:val="24"/>
            <w:szCs w:val="24"/>
            <w:u w:val="single"/>
            <w:rtl w:val="0"/>
          </w:rPr>
          <w:t xml:space="preserve">https://www.nbim.no/</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Norges Bank Investment Management - Submission in response to: Climate-related financial disclosure - The Treasury, accessed January 30, 2026, </w:t>
      </w:r>
      <w:hyperlink r:id="rId20">
        <w:r w:rsidDel="00000000" w:rsidR="00000000" w:rsidRPr="00000000">
          <w:rPr>
            <w:rFonts w:ascii="Google Sans" w:cs="Google Sans" w:eastAsia="Google Sans" w:hAnsi="Google Sans"/>
            <w:color w:val="0000ee"/>
            <w:sz w:val="24"/>
            <w:szCs w:val="24"/>
            <w:u w:val="single"/>
            <w:rtl w:val="0"/>
          </w:rPr>
          <w:t xml:space="preserve">https://treasury.gov.au/sites/default/files/2023-04/c2022-314397-norges-bank-investment-management.pdf</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Norges Bank to invest $1.5bn in Brookfield's Global Transition Fund II - Net Zero Investor, accessed January 30, 2026, </w:t>
      </w:r>
      <w:hyperlink r:id="rId21">
        <w:r w:rsidDel="00000000" w:rsidR="00000000" w:rsidRPr="00000000">
          <w:rPr>
            <w:rFonts w:ascii="Google Sans" w:cs="Google Sans" w:eastAsia="Google Sans" w:hAnsi="Google Sans"/>
            <w:color w:val="0000ee"/>
            <w:sz w:val="24"/>
            <w:szCs w:val="24"/>
            <w:u w:val="single"/>
            <w:rtl w:val="0"/>
          </w:rPr>
          <w:t xml:space="preserve">https://www.netzeroinvestor.net/news-and-views/briefs/norges-bank-to-invest-1.5bn-in-brookfields-global-transition-fund-ii</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ANZ to combine staff in single location in Singapore office move, accessed January 30, 2026, </w:t>
      </w:r>
      <w:hyperlink r:id="rId22">
        <w:r w:rsidDel="00000000" w:rsidR="00000000" w:rsidRPr="00000000">
          <w:rPr>
            <w:rFonts w:ascii="Google Sans" w:cs="Google Sans" w:eastAsia="Google Sans" w:hAnsi="Google Sans"/>
            <w:color w:val="0000ee"/>
            <w:sz w:val="24"/>
            <w:szCs w:val="24"/>
            <w:u w:val="single"/>
            <w:rtl w:val="0"/>
          </w:rPr>
          <w:t xml:space="preserve">https://www.straitstimes.com/business/banking/anz-to-combine-staff-in-single-location-in-singapore-office-move</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Portfolio - Temasek, accessed January 30, 2026, </w:t>
      </w:r>
      <w:hyperlink r:id="rId23">
        <w:r w:rsidDel="00000000" w:rsidR="00000000" w:rsidRPr="00000000">
          <w:rPr>
            <w:rFonts w:ascii="Google Sans" w:cs="Google Sans" w:eastAsia="Google Sans" w:hAnsi="Google Sans"/>
            <w:color w:val="0000ee"/>
            <w:sz w:val="24"/>
            <w:szCs w:val="24"/>
            <w:u w:val="single"/>
            <w:rtl w:val="0"/>
          </w:rPr>
          <w:t xml:space="preserve">https://www.temasek.com.sg/en/our-investments/our-portfolio</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FNZ Group welcomes new investment from Temasek, accessed January 30, 2026, </w:t>
      </w:r>
      <w:hyperlink r:id="rId24">
        <w:r w:rsidDel="00000000" w:rsidR="00000000" w:rsidRPr="00000000">
          <w:rPr>
            <w:rFonts w:ascii="Google Sans" w:cs="Google Sans" w:eastAsia="Google Sans" w:hAnsi="Google Sans"/>
            <w:color w:val="0000ee"/>
            <w:sz w:val="24"/>
            <w:szCs w:val="24"/>
            <w:u w:val="single"/>
            <w:rtl w:val="0"/>
          </w:rPr>
          <w:t xml:space="preserve">https://www.fnz.com/news/fnz-group-welcomes-new-investment-from-temasek</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investments in China's local banking sector – the Australian experience - Taylor &amp; Francis, accessed January 30, 2026, </w:t>
      </w:r>
      <w:hyperlink r:id="rId25">
        <w:r w:rsidDel="00000000" w:rsidR="00000000" w:rsidRPr="00000000">
          <w:rPr>
            <w:rFonts w:ascii="Google Sans" w:cs="Google Sans" w:eastAsia="Google Sans" w:hAnsi="Google Sans"/>
            <w:color w:val="0000ee"/>
            <w:sz w:val="24"/>
            <w:szCs w:val="24"/>
            <w:u w:val="single"/>
            <w:rtl w:val="0"/>
          </w:rPr>
          <w:t xml:space="preserve">https://www.tandfonline.com/doi/pdf/10.1080/17538960903083525</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Investment Corporation commits A$200m to Australia's Goodman Group - PERE, accessed January 30, 2026, </w:t>
      </w:r>
      <w:hyperlink r:id="rId26">
        <w:r w:rsidDel="00000000" w:rsidR="00000000" w:rsidRPr="00000000">
          <w:rPr>
            <w:rFonts w:ascii="Google Sans" w:cs="Google Sans" w:eastAsia="Google Sans" w:hAnsi="Google Sans"/>
            <w:color w:val="0000ee"/>
            <w:sz w:val="24"/>
            <w:szCs w:val="24"/>
            <w:u w:val="single"/>
            <w:rtl w:val="0"/>
          </w:rPr>
          <w:t xml:space="preserve">https://www.perenews.com/china-investment-corporation-commits-a200m-to-australias-goodman-group/</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backs management on 'Say on Climate' votes - Responsible Investor, accessed January 30, 2026, </w:t>
      </w:r>
      <w:hyperlink r:id="rId27">
        <w:r w:rsidDel="00000000" w:rsidR="00000000" w:rsidRPr="00000000">
          <w:rPr>
            <w:rFonts w:ascii="Google Sans" w:cs="Google Sans" w:eastAsia="Google Sans" w:hAnsi="Google Sans"/>
            <w:color w:val="0000ee"/>
            <w:sz w:val="24"/>
            <w:szCs w:val="24"/>
            <w:u w:val="single"/>
            <w:rtl w:val="0"/>
          </w:rPr>
          <w:t xml:space="preserve">https://www.responsible-investor.com/blackrock-gives-100-support-to-management-on-say-on-climate-votes/</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Council of Financial Regulators Climate Change Activity Stocktake Paper 2023, accessed January 30, 2026, </w:t>
      </w:r>
      <w:hyperlink r:id="rId28">
        <w:r w:rsidDel="00000000" w:rsidR="00000000" w:rsidRPr="00000000">
          <w:rPr>
            <w:rFonts w:ascii="Google Sans" w:cs="Google Sans" w:eastAsia="Google Sans" w:hAnsi="Google Sans"/>
            <w:color w:val="0000ee"/>
            <w:sz w:val="24"/>
            <w:szCs w:val="24"/>
            <w:u w:val="single"/>
            <w:rtl w:val="0"/>
          </w:rPr>
          <w:t xml:space="preserve">https://www.cfr.gov.au/publications/policy-statements-and-other-reports/2023/council-of-financial-regulators-climate-change-activity-stocktake-2023/</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“De-banking” in good faith: when can a bank de-bank a customer? - KWM, accessed January 30, 2026, </w:t>
      </w:r>
      <w:hyperlink r:id="rId29">
        <w:r w:rsidDel="00000000" w:rsidR="00000000" w:rsidRPr="00000000">
          <w:rPr>
            <w:rFonts w:ascii="Google Sans" w:cs="Google Sans" w:eastAsia="Google Sans" w:hAnsi="Google Sans"/>
            <w:color w:val="0000ee"/>
            <w:sz w:val="24"/>
            <w:szCs w:val="24"/>
            <w:u w:val="single"/>
            <w:rtl w:val="0"/>
          </w:rPr>
          <w:t xml:space="preserve">https://www.kwm.com/au/en/insights/latest-thinking/de-banking-in-good-faith-when-can-a-bank-de-bank-a-customer.html</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SENATE - Mortgage and Finance Association of Australia, accessed January 30, 2026, </w:t>
      </w:r>
      <w:hyperlink r:id="rId30">
        <w:r w:rsidDel="00000000" w:rsidR="00000000" w:rsidRPr="00000000">
          <w:rPr>
            <w:rFonts w:ascii="Google Sans" w:cs="Google Sans" w:eastAsia="Google Sans" w:hAnsi="Google Sans"/>
            <w:color w:val="0000ee"/>
            <w:sz w:val="24"/>
            <w:szCs w:val="24"/>
            <w:u w:val="single"/>
            <w:rtl w:val="0"/>
          </w:rPr>
          <w:t xml:space="preserve">https://mfaa.com.au/wp-content/uploads/2025/03/d0ddc51f2645c278f1f6d1d8efcf865b8aed9535.pdf</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Funding Costs and Lending Rates| Explainer | Education | RBA, accessed January 30, 2026, </w:t>
      </w:r>
      <w:hyperlink r:id="rId31">
        <w:r w:rsidDel="00000000" w:rsidR="00000000" w:rsidRPr="00000000">
          <w:rPr>
            <w:rFonts w:ascii="Google Sans" w:cs="Google Sans" w:eastAsia="Google Sans" w:hAnsi="Google Sans"/>
            <w:color w:val="0000ee"/>
            <w:sz w:val="24"/>
            <w:szCs w:val="24"/>
            <w:u w:val="single"/>
            <w:rtl w:val="0"/>
          </w:rPr>
          <w:t xml:space="preserve">https://www.rba.gov.au/education/resources/explainers/banks-funding-costs-and-lending-rates.html</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Foreign Monetary Policy Drive Australian Banks' Wholesale Funding Costs?, accessed January 30, 2026, </w:t>
      </w:r>
      <w:hyperlink r:id="rId32">
        <w:r w:rsidDel="00000000" w:rsidR="00000000" w:rsidRPr="00000000">
          <w:rPr>
            <w:rFonts w:ascii="Google Sans" w:cs="Google Sans" w:eastAsia="Google Sans" w:hAnsi="Google Sans"/>
            <w:color w:val="0000ee"/>
            <w:sz w:val="24"/>
            <w:szCs w:val="24"/>
            <w:u w:val="single"/>
            <w:rtl w:val="0"/>
          </w:rPr>
          <w:t xml:space="preserve">https://internationalbanker.com/banking/does-foreign-monetary-policy-drive-australian-banks-wholesale-funding-costs/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Nature of Australian Banks' Offshore Funding - Reserve Bank of Australia, accessed January 30, 2026, </w:t>
      </w:r>
      <w:hyperlink r:id="rId33">
        <w:r w:rsidDel="00000000" w:rsidR="00000000" w:rsidRPr="00000000">
          <w:rPr>
            <w:rFonts w:ascii="Google Sans" w:cs="Google Sans" w:eastAsia="Google Sans" w:hAnsi="Google Sans"/>
            <w:color w:val="0000ee"/>
            <w:sz w:val="24"/>
            <w:szCs w:val="24"/>
            <w:u w:val="single"/>
            <w:rtl w:val="0"/>
          </w:rPr>
          <w:t xml:space="preserve">https://www.rba.gov.au/publications/bulletin/2019/dec/pdf/the-nature-of-australian-banks-offshore-funding.pdf</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lending hits $925 billion across Australia's top 10 ADIs in July, Japanese banks SMBC and MUFG lead expansion - Broker Pulse, accessed January 30, 2026, </w:t>
      </w:r>
      <w:hyperlink r:id="rId34">
        <w:r w:rsidDel="00000000" w:rsidR="00000000" w:rsidRPr="00000000">
          <w:rPr>
            <w:rFonts w:ascii="Google Sans" w:cs="Google Sans" w:eastAsia="Google Sans" w:hAnsi="Google Sans"/>
            <w:color w:val="0000ee"/>
            <w:sz w:val="24"/>
            <w:szCs w:val="24"/>
            <w:u w:val="single"/>
            <w:rtl w:val="0"/>
          </w:rPr>
          <w:t xml:space="preserve">https://www.brokerpulse.com.au/news/business-lending-hits-925-billion-across-australias-top-10-adis-in-july-japanese-banks-smbc-and-mufg-lead-expansion</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Japanese Banks SMBC and MUFG Propel Business Lending Expansion in Australia, accessed January 30, 2026, </w:t>
      </w:r>
      <w:hyperlink r:id="rId35">
        <w:r w:rsidDel="00000000" w:rsidR="00000000" w:rsidRPr="00000000">
          <w:rPr>
            <w:rFonts w:ascii="Google Sans" w:cs="Google Sans" w:eastAsia="Google Sans" w:hAnsi="Google Sans"/>
            <w:color w:val="0000ee"/>
            <w:sz w:val="24"/>
            <w:szCs w:val="24"/>
            <w:u w:val="single"/>
            <w:rtl w:val="0"/>
          </w:rPr>
          <w:t xml:space="preserve">https://business-loans.com.au/news.php?id=2901</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Japanese Banks SMBC and MUFG Drive Business Lending Growth in Australia, accessed January 30, 2026, </w:t>
      </w:r>
      <w:hyperlink r:id="rId36">
        <w:r w:rsidDel="00000000" w:rsidR="00000000" w:rsidRPr="00000000">
          <w:rPr>
            <w:rFonts w:ascii="Google Sans" w:cs="Google Sans" w:eastAsia="Google Sans" w:hAnsi="Google Sans"/>
            <w:color w:val="0000ee"/>
            <w:sz w:val="24"/>
            <w:szCs w:val="24"/>
            <w:u w:val="single"/>
            <w:rtl w:val="0"/>
          </w:rPr>
          <w:t xml:space="preserve">https://financialservicesonline.com.au/news.php?id=2443</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Japan-Australia Investment Report 2023 - AJBCC, accessed January 30, 2026, </w:t>
      </w:r>
      <w:hyperlink r:id="rId37">
        <w:r w:rsidDel="00000000" w:rsidR="00000000" w:rsidRPr="00000000">
          <w:rPr>
            <w:rFonts w:ascii="Google Sans" w:cs="Google Sans" w:eastAsia="Google Sans" w:hAnsi="Google Sans"/>
            <w:color w:val="0000ee"/>
            <w:sz w:val="24"/>
            <w:szCs w:val="24"/>
            <w:u w:val="single"/>
            <w:rtl w:val="0"/>
          </w:rPr>
          <w:t xml:space="preserve">https://ajbcc.com.au/wp-content/uploads/2024/04/Japan-Australia-Investment-Report-2023-Partners-in-Prosperity-E-version.pdf</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Japan-Australia Investment Report 2024: Record-Breaking Japanese Investment | Herbert Smith Freehills Kramer | Global law firm, accessed January 30, 2026, </w:t>
      </w:r>
      <w:hyperlink r:id="rId38">
        <w:r w:rsidDel="00000000" w:rsidR="00000000" w:rsidRPr="00000000">
          <w:rPr>
            <w:rFonts w:ascii="Google Sans" w:cs="Google Sans" w:eastAsia="Google Sans" w:hAnsi="Google Sans"/>
            <w:color w:val="0000ee"/>
            <w:sz w:val="24"/>
            <w:szCs w:val="24"/>
            <w:u w:val="single"/>
            <w:rtl w:val="0"/>
          </w:rPr>
          <w:t xml:space="preserve">https://www.hsfkramer.com/insights/2025-04/japan-australia-investment-report-2024-record-breaking-japanese-investment</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Westpac Debt Investor Presentation (Covered Bonds), accessed January 30, 2026, </w:t>
      </w:r>
      <w:hyperlink r:id="rId39">
        <w:r w:rsidDel="00000000" w:rsidR="00000000" w:rsidRPr="00000000">
          <w:rPr>
            <w:rFonts w:ascii="Google Sans" w:cs="Google Sans" w:eastAsia="Google Sans" w:hAnsi="Google Sans"/>
            <w:color w:val="0000ee"/>
            <w:sz w:val="24"/>
            <w:szCs w:val="24"/>
            <w:u w:val="single"/>
            <w:rtl w:val="0"/>
          </w:rPr>
          <w:t xml:space="preserve">https://www.westpac.com.au/content/dam/public/wbc/documents/pdf/aw/ic/wbc-Debt-Investor-Presentation-Covered-Bonds-Primer-March-2025.pdf</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Westpac Debt Investor Presentation, accessed January 30, 2026, </w:t>
      </w:r>
      <w:hyperlink r:id="rId40">
        <w:r w:rsidDel="00000000" w:rsidR="00000000" w:rsidRPr="00000000">
          <w:rPr>
            <w:rFonts w:ascii="Google Sans" w:cs="Google Sans" w:eastAsia="Google Sans" w:hAnsi="Google Sans"/>
            <w:color w:val="0000ee"/>
            <w:sz w:val="24"/>
            <w:szCs w:val="24"/>
            <w:u w:val="single"/>
            <w:rtl w:val="0"/>
          </w:rPr>
          <w:t xml:space="preserve">https://www.westpac.com.au/content/dam/public/wbc/documents/pdf/aw/ic/WBC-CB-Investor-Presentation-3Q25-EU-September.pdf</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into Small and Medium-sized Banks - Council of Financial Regulators, accessed January 30, 2026, </w:t>
      </w:r>
      <w:hyperlink r:id="rId41">
        <w:r w:rsidDel="00000000" w:rsidR="00000000" w:rsidRPr="00000000">
          <w:rPr>
            <w:rFonts w:ascii="Google Sans" w:cs="Google Sans" w:eastAsia="Google Sans" w:hAnsi="Google Sans"/>
            <w:color w:val="0000ee"/>
            <w:sz w:val="24"/>
            <w:szCs w:val="24"/>
            <w:u w:val="single"/>
            <w:rtl w:val="0"/>
          </w:rPr>
          <w:t xml:space="preserve">https://www.cfr.gov.au/publications/consultations/2024/review-into-small-and-medium-sized-banks/pdf/review-into-small-and-medium-sized%20banks-issues-paper.pdf</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brace for funding challenge as liquidity facility winds down - RBC Capital Markets, accessed January 30, 2026, </w:t>
      </w:r>
      <w:hyperlink r:id="rId42">
        <w:r w:rsidDel="00000000" w:rsidR="00000000" w:rsidRPr="00000000">
          <w:rPr>
            <w:rFonts w:ascii="Google Sans" w:cs="Google Sans" w:eastAsia="Google Sans" w:hAnsi="Google Sans"/>
            <w:color w:val="0000ee"/>
            <w:sz w:val="24"/>
            <w:szCs w:val="24"/>
            <w:u w:val="single"/>
            <w:rtl w:val="0"/>
          </w:rPr>
          <w:t xml:space="preserve">https://www.rbccm.com/en/insights/story.page?dcr=templatedata/article/insights/data/2022/07/banks_brace_for_funding_challenge_as_liquidity_facility_winds_down</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Covered Bonds In Australia, accessed January 30, 2026, </w:t>
      </w:r>
      <w:hyperlink r:id="rId43">
        <w:r w:rsidDel="00000000" w:rsidR="00000000" w:rsidRPr="00000000">
          <w:rPr>
            <w:rFonts w:ascii="Google Sans" w:cs="Google Sans" w:eastAsia="Google Sans" w:hAnsi="Google Sans"/>
            <w:color w:val="0000ee"/>
            <w:sz w:val="24"/>
            <w:szCs w:val="24"/>
            <w:u w:val="single"/>
            <w:rtl w:val="0"/>
          </w:rPr>
          <w:t xml:space="preserve">https://www.rba.gov.au/publications/bulletin/2017/sep/pdf/bu-0917-7-covered-bonds-in-australia.pdf</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Australia's banks got $188 billion in cheap loans from the RBA. Now they're funding share buybacks - Find an Expert - The University of Melbourne, accessed January 30, 2026, </w:t>
      </w:r>
      <w:hyperlink r:id="rId44">
        <w:r w:rsidDel="00000000" w:rsidR="00000000" w:rsidRPr="00000000">
          <w:rPr>
            <w:rFonts w:ascii="Google Sans" w:cs="Google Sans" w:eastAsia="Google Sans" w:hAnsi="Google Sans"/>
            <w:color w:val="0000ee"/>
            <w:sz w:val="24"/>
            <w:szCs w:val="24"/>
            <w:u w:val="single"/>
            <w:rtl w:val="0"/>
          </w:rPr>
          <w:t xml:space="preserve">https://findanexpert.unimelb.edu.au/news/31095-australia%27s-banks-got-%26%2336%3B188-billion-in-cheap-loans-from-the-rba.-now-they%27re-funding-share-buybacks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Australian Banks - KPMG International, accessed January 30, 2026, </w:t>
      </w:r>
      <w:hyperlink r:id="rId45">
        <w:r w:rsidDel="00000000" w:rsidR="00000000" w:rsidRPr="00000000">
          <w:rPr>
            <w:rFonts w:ascii="Google Sans" w:cs="Google Sans" w:eastAsia="Google Sans" w:hAnsi="Google Sans"/>
            <w:color w:val="0000ee"/>
            <w:sz w:val="24"/>
            <w:szCs w:val="24"/>
            <w:u w:val="single"/>
            <w:rtl w:val="0"/>
          </w:rPr>
          <w:t xml:space="preserve">https://assets.kpmg.com/content/dam/kpmgsites/au/pdf/2022/major-australian-banks-half-year-2022-analysis.pdf</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APRA releases quarterly authorised deposit-taking institution statistics for September 2025, accessed January 30, 2026, </w:t>
      </w:r>
      <w:hyperlink r:id="rId46">
        <w:r w:rsidDel="00000000" w:rsidR="00000000" w:rsidRPr="00000000">
          <w:rPr>
            <w:rFonts w:ascii="Google Sans" w:cs="Google Sans" w:eastAsia="Google Sans" w:hAnsi="Google Sans"/>
            <w:color w:val="0000ee"/>
            <w:sz w:val="24"/>
            <w:szCs w:val="24"/>
            <w:u w:val="single"/>
            <w:rtl w:val="0"/>
          </w:rPr>
          <w:t xml:space="preserve">https://www.apra.gov.au/news-and-publications/apra-releases-quarterly-authorised-deposit-taking-institution-statistics-25</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Stability Review | April 2025 - Reserve Bank of Australia, accessed January 30, 2026, </w:t>
      </w:r>
      <w:hyperlink r:id="rId47">
        <w:r w:rsidDel="00000000" w:rsidR="00000000" w:rsidRPr="00000000">
          <w:rPr>
            <w:rFonts w:ascii="Google Sans" w:cs="Google Sans" w:eastAsia="Google Sans" w:hAnsi="Google Sans"/>
            <w:color w:val="0000ee"/>
            <w:sz w:val="24"/>
            <w:szCs w:val="24"/>
            <w:u w:val="single"/>
            <w:rtl w:val="0"/>
          </w:rPr>
          <w:t xml:space="preserve">https://www.rba.gov.au/publications/fsr/2025/apr/pdf/financial-stability-review-2025-04.pdf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banks ignore thousands of customers' hardship requests - The Guardian, accessed January 30, 2026, </w:t>
      </w:r>
      <w:hyperlink r:id="rId48">
        <w:r w:rsidDel="00000000" w:rsidR="00000000" w:rsidRPr="00000000">
          <w:rPr>
            <w:rFonts w:ascii="Google Sans" w:cs="Google Sans" w:eastAsia="Google Sans" w:hAnsi="Google Sans"/>
            <w:color w:val="0000ee"/>
            <w:sz w:val="24"/>
            <w:szCs w:val="24"/>
            <w:u w:val="single"/>
            <w:rtl w:val="0"/>
          </w:rPr>
          <w:t xml:space="preserve">https://www.theguardian.com/australia-news/2025/oct/19/australian-banks-ignore-customer-hardship-requests</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Finance Analytics (DFA) Blog - Apple Podcasts, accessed January 30, 2026, </w:t>
      </w:r>
      <w:hyperlink r:id="rId49">
        <w:r w:rsidDel="00000000" w:rsidR="00000000" w:rsidRPr="00000000">
          <w:rPr>
            <w:rFonts w:ascii="Google Sans" w:cs="Google Sans" w:eastAsia="Google Sans" w:hAnsi="Google Sans"/>
            <w:color w:val="0000ee"/>
            <w:sz w:val="24"/>
            <w:szCs w:val="24"/>
            <w:u w:val="single"/>
            <w:rtl w:val="0"/>
          </w:rPr>
          <w:t xml:space="preserve">https://podcasts.apple.com/us/podcast/digital-finance-analytics-dfa-blog/id1387377999</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NAB cap 'very high' for risky mortgage market, says analyst - Broker Daily, accessed January 30, 2026, </w:t>
      </w:r>
      <w:hyperlink r:id="rId50">
        <w:r w:rsidDel="00000000" w:rsidR="00000000" w:rsidRPr="00000000">
          <w:rPr>
            <w:rFonts w:ascii="Google Sans" w:cs="Google Sans" w:eastAsia="Google Sans" w:hAnsi="Google Sans"/>
            <w:color w:val="0000ee"/>
            <w:sz w:val="24"/>
            <w:szCs w:val="24"/>
            <w:u w:val="single"/>
            <w:rtl w:val="0"/>
          </w:rPr>
          <w:t xml:space="preserve">https://www.brokerdaily.au/lender/11502-nab-cap-very-high-for-risky-mortgage-market-says-analyst</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Mortgage Prisoner Explained &amp; How to Avoid It - Savings.com.au, accessed January 30, 2026, </w:t>
      </w:r>
      <w:hyperlink r:id="rId51">
        <w:r w:rsidDel="00000000" w:rsidR="00000000" w:rsidRPr="00000000">
          <w:rPr>
            <w:rFonts w:ascii="Google Sans" w:cs="Google Sans" w:eastAsia="Google Sans" w:hAnsi="Google Sans"/>
            <w:color w:val="0000ee"/>
            <w:sz w:val="24"/>
            <w:szCs w:val="24"/>
            <w:u w:val="single"/>
            <w:rtl w:val="0"/>
          </w:rPr>
          <w:t xml:space="preserve">https://www.savings.com.au/home-loans/what-is-a-mortgage-prisoner</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Nearly all brokers have mortgage prisoner clients, accessed January 30, 2026, </w:t>
      </w:r>
      <w:hyperlink r:id="rId52">
        <w:r w:rsidDel="00000000" w:rsidR="00000000" w:rsidRPr="00000000">
          <w:rPr>
            <w:rFonts w:ascii="Google Sans" w:cs="Google Sans" w:eastAsia="Google Sans" w:hAnsi="Google Sans"/>
            <w:color w:val="0000ee"/>
            <w:sz w:val="24"/>
            <w:szCs w:val="24"/>
            <w:u w:val="single"/>
            <w:rtl w:val="0"/>
          </w:rPr>
          <w:t xml:space="preserve">https://www.brokerpulse.com.au/news/nearly-all-brokers-have-mortgage-prisoner-clients</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Capital Adequacy in Australia in: IMF Working Papers Volume 2012 Issue 025 (2012), accessed January 30, 2026, </w:t>
      </w:r>
      <w:hyperlink r:id="rId53">
        <w:r w:rsidDel="00000000" w:rsidR="00000000" w:rsidRPr="00000000">
          <w:rPr>
            <w:rFonts w:ascii="Google Sans" w:cs="Google Sans" w:eastAsia="Google Sans" w:hAnsi="Google Sans"/>
            <w:color w:val="0000ee"/>
            <w:sz w:val="24"/>
            <w:szCs w:val="24"/>
            <w:u w:val="single"/>
            <w:rtl w:val="0"/>
          </w:rPr>
          <w:t xml:space="preserve">https://www.elibrary.imf.org/view/journals/001/2012/025/article-A001-en.xml</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APRA to limit high debt-to-income home loans to constrain riskier lending, accessed January 30, 2026, </w:t>
      </w:r>
      <w:hyperlink r:id="rId54">
        <w:r w:rsidDel="00000000" w:rsidR="00000000" w:rsidRPr="00000000">
          <w:rPr>
            <w:rFonts w:ascii="Google Sans" w:cs="Google Sans" w:eastAsia="Google Sans" w:hAnsi="Google Sans"/>
            <w:color w:val="0000ee"/>
            <w:sz w:val="24"/>
            <w:szCs w:val="24"/>
            <w:u w:val="single"/>
            <w:rtl w:val="0"/>
          </w:rPr>
          <w:t xml:space="preserve">https://www.apra.gov.au/news-and-publications/apra-to-limit-high-debt-to-income-home-loans-to-constrain-riskier-lending</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crack down on high risk loans as Australian property market heats up, accessed January 30, 2026, </w:t>
      </w:r>
      <w:hyperlink r:id="rId55">
        <w:r w:rsidDel="00000000" w:rsidR="00000000" w:rsidRPr="00000000">
          <w:rPr>
            <w:rFonts w:ascii="Google Sans" w:cs="Google Sans" w:eastAsia="Google Sans" w:hAnsi="Google Sans"/>
            <w:color w:val="0000ee"/>
            <w:sz w:val="24"/>
            <w:szCs w:val="24"/>
            <w:u w:val="single"/>
            <w:rtl w:val="0"/>
          </w:rPr>
          <w:t xml:space="preserve">https://www.theguardian.com/business/2025/nov/27/banks-new-rules-high-risk-home-loans-property-market-australia</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Ignore the hedge funds, banks are still a buy, Aurora says, accessed January 30, 2026, </w:t>
      </w:r>
      <w:hyperlink r:id="rId56">
        <w:r w:rsidDel="00000000" w:rsidR="00000000" w:rsidRPr="00000000">
          <w:rPr>
            <w:rFonts w:ascii="Google Sans" w:cs="Google Sans" w:eastAsia="Google Sans" w:hAnsi="Google Sans"/>
            <w:color w:val="0000ee"/>
            <w:sz w:val="24"/>
            <w:szCs w:val="24"/>
            <w:u w:val="single"/>
            <w:rtl w:val="0"/>
          </w:rPr>
          <w:t xml:space="preserve">https://www.aurorafunds.com.au/ignore-the-hedge-funds-banks-are-still-a-buy-aurora-says/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Australian banks headed for a fall? - Firstlinks, accessed January 30, 2026, </w:t>
      </w:r>
      <w:hyperlink r:id="rId57">
        <w:r w:rsidDel="00000000" w:rsidR="00000000" w:rsidRPr="00000000">
          <w:rPr>
            <w:rFonts w:ascii="Google Sans" w:cs="Google Sans" w:eastAsia="Google Sans" w:hAnsi="Google Sans"/>
            <w:color w:val="0000ee"/>
            <w:sz w:val="24"/>
            <w:szCs w:val="24"/>
            <w:u w:val="single"/>
            <w:rtl w:val="0"/>
          </w:rPr>
          <w:t xml:space="preserve">https://www.firstlinks.com.au/are-australian-banks-headed-fall</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housing bubble 'ridiculous' - expert, accessed January 30, 2026, </w:t>
      </w:r>
      <w:hyperlink r:id="rId58">
        <w:r w:rsidDel="00000000" w:rsidR="00000000" w:rsidRPr="00000000">
          <w:rPr>
            <w:rFonts w:ascii="Google Sans" w:cs="Google Sans" w:eastAsia="Google Sans" w:hAnsi="Google Sans"/>
            <w:color w:val="0000ee"/>
            <w:sz w:val="24"/>
            <w:szCs w:val="24"/>
            <w:u w:val="single"/>
            <w:rtl w:val="0"/>
          </w:rPr>
          <w:t xml:space="preserve">https://blog.realestateinvestar.com.au/new-zealand/australian-housing-bubble-ridiculous-expert</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Australian house prices set to crash? - The Motley Fool Australia, accessed January 30, 2026, </w:t>
      </w:r>
      <w:hyperlink r:id="rId59">
        <w:r w:rsidDel="00000000" w:rsidR="00000000" w:rsidRPr="00000000">
          <w:rPr>
            <w:rFonts w:ascii="Google Sans" w:cs="Google Sans" w:eastAsia="Google Sans" w:hAnsi="Google Sans"/>
            <w:color w:val="0000ee"/>
            <w:sz w:val="24"/>
            <w:szCs w:val="24"/>
            <w:u w:val="single"/>
            <w:rtl w:val="0"/>
          </w:rPr>
          <w:t xml:space="preserve">https://www.fool.com.au/2016/02/24/are-australian-house-prices-set-to-crash/</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major banks hit record headcount as strong performance fuels future investment, accessed January 30, 2026, </w:t>
      </w:r>
      <w:hyperlink r:id="rId60">
        <w:r w:rsidDel="00000000" w:rsidR="00000000" w:rsidRPr="00000000">
          <w:rPr>
            <w:rFonts w:ascii="Google Sans" w:cs="Google Sans" w:eastAsia="Google Sans" w:hAnsi="Google Sans"/>
            <w:color w:val="0000ee"/>
            <w:sz w:val="24"/>
            <w:szCs w:val="24"/>
            <w:u w:val="single"/>
            <w:rtl w:val="0"/>
          </w:rPr>
          <w:t xml:space="preserve">https://www.pwc.com.au/media/2025/major-banks-analysis-2025.html</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 property prices to continue rising in 2026: AMP, accessed January 30, 2026, </w:t>
      </w:r>
      <w:hyperlink r:id="rId61">
        <w:r w:rsidDel="00000000" w:rsidR="00000000" w:rsidRPr="00000000">
          <w:rPr>
            <w:rFonts w:ascii="Google Sans" w:cs="Google Sans" w:eastAsia="Google Sans" w:hAnsi="Google Sans"/>
            <w:color w:val="0000ee"/>
            <w:sz w:val="24"/>
            <w:szCs w:val="24"/>
            <w:u w:val="single"/>
            <w:rtl w:val="0"/>
          </w:rPr>
          <w:t xml:space="preserve">https://australianpropertyupdate.com.au/apu/expect-property-prices-to-continue-rising-in-2026-amp</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Property Market Outlook - KPMG International, accessed January 30, 2026, </w:t>
      </w:r>
      <w:hyperlink r:id="rId62">
        <w:r w:rsidDel="00000000" w:rsidR="00000000" w:rsidRPr="00000000">
          <w:rPr>
            <w:rFonts w:ascii="Google Sans" w:cs="Google Sans" w:eastAsia="Google Sans" w:hAnsi="Google Sans"/>
            <w:color w:val="0000ee"/>
            <w:sz w:val="24"/>
            <w:szCs w:val="24"/>
            <w:u w:val="single"/>
            <w:rtl w:val="0"/>
          </w:rPr>
          <w:t xml:space="preserve">https://assets.kpmg.com/content/dam/kpmgsites/au/pdf/2025/kpmg-residential-property-market-outlook-january-25.pdf.coredownload.inline.pdf</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Massive Rug Pull To Crush Australian Housing Market | 2026 Warning, accessed January 30,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https://www.youtube.com/watch?v=hW8blrCAcqw</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Shocking number of Victorian households in mortgage, rental crisis - realestate.com.au, accessed January 30, 2026, </w:t>
      </w:r>
      <w:hyperlink r:id="rId64">
        <w:r w:rsidDel="00000000" w:rsidR="00000000" w:rsidRPr="00000000">
          <w:rPr>
            <w:rFonts w:ascii="Google Sans" w:cs="Google Sans" w:eastAsia="Google Sans" w:hAnsi="Google Sans"/>
            <w:color w:val="0000ee"/>
            <w:sz w:val="24"/>
            <w:szCs w:val="24"/>
            <w:u w:val="single"/>
            <w:rtl w:val="0"/>
          </w:rPr>
          <w:t xml:space="preserve">https://www.realestate.com.au/news/shocking-number-of-victorian-households-in-mortgage-rental-crisis/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State Street and Vanguard: between a rock and a hard place | Netzeroinvestor, accessed January 30, 2026, </w:t>
      </w:r>
      <w:hyperlink r:id="rId65">
        <w:r w:rsidDel="00000000" w:rsidR="00000000" w:rsidRPr="00000000">
          <w:rPr>
            <w:rFonts w:ascii="Google Sans" w:cs="Google Sans" w:eastAsia="Google Sans" w:hAnsi="Google Sans"/>
            <w:color w:val="0000ee"/>
            <w:sz w:val="24"/>
            <w:szCs w:val="24"/>
            <w:u w:val="single"/>
            <w:rtl w:val="0"/>
          </w:rPr>
          <w:t xml:space="preserve">https://www.netzeroinvestor.net/news-and-views/blackrock-state-street-and-vanguard-between-a-rock-and-a-hard-place</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boom in Australian securitised credit - Challenger Investment Management, accessed January 30, 2026, </w:t>
      </w:r>
      <w:hyperlink r:id="rId66">
        <w:r w:rsidDel="00000000" w:rsidR="00000000" w:rsidRPr="00000000">
          <w:rPr>
            <w:rFonts w:ascii="Google Sans" w:cs="Google Sans" w:eastAsia="Google Sans" w:hAnsi="Google Sans"/>
            <w:color w:val="0000ee"/>
            <w:sz w:val="24"/>
            <w:szCs w:val="24"/>
            <w:u w:val="single"/>
            <w:rtl w:val="0"/>
          </w:rPr>
          <w:t xml:space="preserve">https://www.challengerim.com.au/the-boom-in-australian-securitised-credit/</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Aus, China trade will change - ANZ, accessed January 30, 2026, </w:t>
      </w:r>
      <w:hyperlink r:id="rId67">
        <w:r w:rsidDel="00000000" w:rsidR="00000000" w:rsidRPr="00000000">
          <w:rPr>
            <w:rFonts w:ascii="Google Sans" w:cs="Google Sans" w:eastAsia="Google Sans" w:hAnsi="Google Sans"/>
            <w:color w:val="0000ee"/>
            <w:sz w:val="24"/>
            <w:szCs w:val="24"/>
            <w:u w:val="single"/>
            <w:rtl w:val="0"/>
          </w:rPr>
          <w:t xml:space="preserve">https://www.anz.com/institutional/insights/articles/2025-10/how-aus-china-trade-will-change/</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Real Estate® Asia Pacific 2025 - PwC, accessed January 30, 2026, </w:t>
      </w:r>
      <w:hyperlink r:id="rId68">
        <w:r w:rsidDel="00000000" w:rsidR="00000000" w:rsidRPr="00000000">
          <w:rPr>
            <w:rFonts w:ascii="Google Sans" w:cs="Google Sans" w:eastAsia="Google Sans" w:hAnsi="Google Sans"/>
            <w:color w:val="0000ee"/>
            <w:sz w:val="24"/>
            <w:szCs w:val="24"/>
            <w:u w:val="single"/>
            <w:rtl w:val="0"/>
          </w:rPr>
          <w:t xml:space="preserve">https://www.pwc.com/sg/en/publications/assets/page/emerging-trends-in-real-estate-apac-2025.pdf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stpac.com.au/content/dam/public/wbc/documents/pdf/aw/ic/WBC-CB-Investor-Presentation-3Q25-EU-September.pdf" TargetMode="External"/><Relationship Id="rId42" Type="http://schemas.openxmlformats.org/officeDocument/2006/relationships/hyperlink" Target="https://www.rbccm.com/en/insights/story.page?dcr=templatedata/article/insights/data/2022/07/banks_brace_for_funding_challenge_as_liquidity_facility_winds_down" TargetMode="External"/><Relationship Id="rId41" Type="http://schemas.openxmlformats.org/officeDocument/2006/relationships/hyperlink" Target="https://www.cfr.gov.au/publications/consultations/2024/review-into-small-and-medium-sized-banks/pdf/review-into-small-and-medium-sized%20banks-issues-paper.pdf" TargetMode="External"/><Relationship Id="rId44" Type="http://schemas.openxmlformats.org/officeDocument/2006/relationships/hyperlink" Target="https://findanexpert.unimelb.edu.au/news/31095-australia%27s-banks-got-%26%2336%3B188-billion-in-cheap-loans-from-the-rba.-now-they%27re-funding-share-buybacks" TargetMode="External"/><Relationship Id="rId43" Type="http://schemas.openxmlformats.org/officeDocument/2006/relationships/hyperlink" Target="https://www.rba.gov.au/publications/bulletin/2017/sep/pdf/bu-0917-7-covered-bonds-in-australia.pdf" TargetMode="External"/><Relationship Id="rId46" Type="http://schemas.openxmlformats.org/officeDocument/2006/relationships/hyperlink" Target="https://www.apra.gov.au/news-and-publications/apra-releases-quarterly-authorised-deposit-taking-institution-statistics-25" TargetMode="External"/><Relationship Id="rId45" Type="http://schemas.openxmlformats.org/officeDocument/2006/relationships/hyperlink" Target="https://assets.kpmg.com/content/dam/kpmgsites/au/pdf/2022/major-australian-banks-half-year-2022-analysi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rningstar.com.au/markets/climate-activists-get-a-boost-from-blackrock" TargetMode="External"/><Relationship Id="rId48" Type="http://schemas.openxmlformats.org/officeDocument/2006/relationships/hyperlink" Target="https://www.theguardian.com/australia-news/2025/oct/19/australian-banks-ignore-customer-hardship-requests" TargetMode="External"/><Relationship Id="rId47" Type="http://schemas.openxmlformats.org/officeDocument/2006/relationships/hyperlink" Target="https://www.rba.gov.au/publications/fsr/2025/apr/pdf/financial-stability-review-2025-04.pdf" TargetMode="External"/><Relationship Id="rId49" Type="http://schemas.openxmlformats.org/officeDocument/2006/relationships/hyperlink" Target="https://podcasts.apple.com/us/podcast/digital-finance-analytics-dfa-blog/id1387377999" TargetMode="External"/><Relationship Id="rId5" Type="http://schemas.openxmlformats.org/officeDocument/2006/relationships/styles" Target="styles.xml"/><Relationship Id="rId6" Type="http://schemas.openxmlformats.org/officeDocument/2006/relationships/hyperlink" Target="https://www.rba.gov.au/mkt-operations/term-funding-facility/" TargetMode="External"/><Relationship Id="rId7" Type="http://schemas.openxmlformats.org/officeDocument/2006/relationships/hyperlink" Target="https://www.investordaily.com.au/banks-pivot-as-rba-drains-liquidity/" TargetMode="External"/><Relationship Id="rId8" Type="http://schemas.openxmlformats.org/officeDocument/2006/relationships/hyperlink" Target="https://www.intelligentinvestor.com.au/recommendations/banks-is-the-worst-yet-to-come/148678" TargetMode="External"/><Relationship Id="rId31" Type="http://schemas.openxmlformats.org/officeDocument/2006/relationships/hyperlink" Target="https://www.rba.gov.au/education/resources/explainers/banks-funding-costs-and-lending-rates.html" TargetMode="External"/><Relationship Id="rId30" Type="http://schemas.openxmlformats.org/officeDocument/2006/relationships/hyperlink" Target="https://mfaa.com.au/wp-content/uploads/2025/03/d0ddc51f2645c278f1f6d1d8efcf865b8aed9535.pdf" TargetMode="External"/><Relationship Id="rId33" Type="http://schemas.openxmlformats.org/officeDocument/2006/relationships/hyperlink" Target="https://www.rba.gov.au/publications/bulletin/2019/dec/pdf/the-nature-of-australian-banks-offshore-funding.pdf" TargetMode="External"/><Relationship Id="rId32" Type="http://schemas.openxmlformats.org/officeDocument/2006/relationships/hyperlink" Target="https://internationalbanker.com/banking/does-foreign-monetary-policy-drive-australian-banks-wholesale-funding-costs/" TargetMode="External"/><Relationship Id="rId35" Type="http://schemas.openxmlformats.org/officeDocument/2006/relationships/hyperlink" Target="https://business-loans.com.au/news.php?id=2901" TargetMode="External"/><Relationship Id="rId34" Type="http://schemas.openxmlformats.org/officeDocument/2006/relationships/hyperlink" Target="https://www.brokerpulse.com.au/news/business-lending-hits-925-billion-across-australias-top-10-adis-in-july-japanese-banks-smbc-and-mufg-lead-expansion" TargetMode="External"/><Relationship Id="rId37" Type="http://schemas.openxmlformats.org/officeDocument/2006/relationships/hyperlink" Target="https://ajbcc.com.au/wp-content/uploads/2024/04/Japan-Australia-Investment-Report-2023-Partners-in-Prosperity-E-version.pdf" TargetMode="External"/><Relationship Id="rId36" Type="http://schemas.openxmlformats.org/officeDocument/2006/relationships/hyperlink" Target="https://financialservicesonline.com.au/news.php?id=2443" TargetMode="External"/><Relationship Id="rId39" Type="http://schemas.openxmlformats.org/officeDocument/2006/relationships/hyperlink" Target="https://www.westpac.com.au/content/dam/public/wbc/documents/pdf/aw/ic/wbc-Debt-Investor-Presentation-Covered-Bonds-Primer-March-2025.pdf" TargetMode="External"/><Relationship Id="rId38" Type="http://schemas.openxmlformats.org/officeDocument/2006/relationships/hyperlink" Target="https://www.hsfkramer.com/insights/2025-04/japan-australia-investment-report-2024-record-breaking-japanese-investment" TargetMode="External"/><Relationship Id="rId62" Type="http://schemas.openxmlformats.org/officeDocument/2006/relationships/hyperlink" Target="https://assets.kpmg.com/content/dam/kpmgsites/au/pdf/2025/kpmg-residential-property-market-outlook-january-25.pdf.coredownload.inline.pdf" TargetMode="External"/><Relationship Id="rId61" Type="http://schemas.openxmlformats.org/officeDocument/2006/relationships/hyperlink" Target="https://australianpropertyupdate.com.au/apu/expect-property-prices-to-continue-rising-in-2026-amp" TargetMode="External"/><Relationship Id="rId20" Type="http://schemas.openxmlformats.org/officeDocument/2006/relationships/hyperlink" Target="https://treasury.gov.au/sites/default/files/2023-04/c2022-314397-norges-bank-investment-management.pdf" TargetMode="External"/><Relationship Id="rId64" Type="http://schemas.openxmlformats.org/officeDocument/2006/relationships/hyperlink" Target="https://www.realestate.com.au/news/shocking-number-of-victorian-households-in-mortgage-rental-crisis/" TargetMode="External"/><Relationship Id="rId63" Type="http://schemas.openxmlformats.org/officeDocument/2006/relationships/hyperlink" Target="https://www.youtube.com/watch?v=hW8blrCAcqw" TargetMode="External"/><Relationship Id="rId22" Type="http://schemas.openxmlformats.org/officeDocument/2006/relationships/hyperlink" Target="https://www.straitstimes.com/business/banking/anz-to-combine-staff-in-single-location-in-singapore-office-move" TargetMode="External"/><Relationship Id="rId66" Type="http://schemas.openxmlformats.org/officeDocument/2006/relationships/hyperlink" Target="https://www.challengerim.com.au/the-boom-in-australian-securitised-credit/" TargetMode="External"/><Relationship Id="rId21" Type="http://schemas.openxmlformats.org/officeDocument/2006/relationships/hyperlink" Target="https://www.netzeroinvestor.net/news-and-views/briefs/norges-bank-to-invest-1.5bn-in-brookfields-global-transition-fund-ii" TargetMode="External"/><Relationship Id="rId65" Type="http://schemas.openxmlformats.org/officeDocument/2006/relationships/hyperlink" Target="https://www.netzeroinvestor.net/news-and-views/blackrock-state-street-and-vanguard-between-a-rock-and-a-hard-place" TargetMode="External"/><Relationship Id="rId24" Type="http://schemas.openxmlformats.org/officeDocument/2006/relationships/hyperlink" Target="https://www.fnz.com/news/fnz-group-welcomes-new-investment-from-temasek" TargetMode="External"/><Relationship Id="rId68" Type="http://schemas.openxmlformats.org/officeDocument/2006/relationships/hyperlink" Target="https://www.pwc.com/sg/en/publications/assets/page/emerging-trends-in-real-estate-apac-2025.pdf" TargetMode="External"/><Relationship Id="rId23" Type="http://schemas.openxmlformats.org/officeDocument/2006/relationships/hyperlink" Target="https://www.temasek.com.sg/en/our-investments/our-portfolio" TargetMode="External"/><Relationship Id="rId67" Type="http://schemas.openxmlformats.org/officeDocument/2006/relationships/hyperlink" Target="https://www.anz.com/institutional/insights/articles/2025-10/how-aus-china-trade-will-change/" TargetMode="External"/><Relationship Id="rId60" Type="http://schemas.openxmlformats.org/officeDocument/2006/relationships/hyperlink" Target="https://www.pwc.com.au/media/2025/major-banks-analysis-2025.html" TargetMode="External"/><Relationship Id="rId26" Type="http://schemas.openxmlformats.org/officeDocument/2006/relationships/hyperlink" Target="https://www.perenews.com/china-investment-corporation-commits-a200m-to-australias-goodman-group/" TargetMode="External"/><Relationship Id="rId25" Type="http://schemas.openxmlformats.org/officeDocument/2006/relationships/hyperlink" Target="https://www.tandfonline.com/doi/pdf/10.1080/17538960903083525" TargetMode="External"/><Relationship Id="rId28" Type="http://schemas.openxmlformats.org/officeDocument/2006/relationships/hyperlink" Target="https://www.cfr.gov.au/publications/policy-statements-and-other-reports/2023/council-of-financial-regulators-climate-change-activity-stocktake-2023/" TargetMode="External"/><Relationship Id="rId27" Type="http://schemas.openxmlformats.org/officeDocument/2006/relationships/hyperlink" Target="https://www.responsible-investor.com/blackrock-gives-100-support-to-management-on-say-on-climate-votes/" TargetMode="External"/><Relationship Id="rId29" Type="http://schemas.openxmlformats.org/officeDocument/2006/relationships/hyperlink" Target="https://www.kwm.com/au/en/insights/latest-thinking/de-banking-in-good-faith-when-can-a-bank-de-bank-a-customer.html" TargetMode="External"/><Relationship Id="rId51" Type="http://schemas.openxmlformats.org/officeDocument/2006/relationships/hyperlink" Target="https://www.savings.com.au/home-loans/what-is-a-mortgage-prisoner" TargetMode="External"/><Relationship Id="rId50" Type="http://schemas.openxmlformats.org/officeDocument/2006/relationships/hyperlink" Target="https://www.brokerdaily.au/lender/11502-nab-cap-very-high-for-risky-mortgage-market-says-analyst" TargetMode="External"/><Relationship Id="rId53" Type="http://schemas.openxmlformats.org/officeDocument/2006/relationships/hyperlink" Target="https://www.elibrary.imf.org/view/journals/001/2012/025/article-A001-en.xml" TargetMode="External"/><Relationship Id="rId52" Type="http://schemas.openxmlformats.org/officeDocument/2006/relationships/hyperlink" Target="https://www.brokerpulse.com.au/news/nearly-all-brokers-have-mortgage-prisoner-clients" TargetMode="External"/><Relationship Id="rId11" Type="http://schemas.openxmlformats.org/officeDocument/2006/relationships/hyperlink" Target="https://www.blackrock.com/corporate/literature/continuous-disclosure-and-important-information/blackrock-sustainability-disclosure.pdf" TargetMode="External"/><Relationship Id="rId55" Type="http://schemas.openxmlformats.org/officeDocument/2006/relationships/hyperlink" Target="https://www.theguardian.com/business/2025/nov/27/banks-new-rules-high-risk-home-loans-property-market-australia" TargetMode="External"/><Relationship Id="rId10" Type="http://schemas.openxmlformats.org/officeDocument/2006/relationships/hyperlink" Target="https://www.qmul.ac.uk/media/news/2025/humanities-and-social-sciences/hss/blackrock-vanguard-and-state-street-are-the-real-power-behind-big-oils-climate-retreat-report-finds.html" TargetMode="External"/><Relationship Id="rId54" Type="http://schemas.openxmlformats.org/officeDocument/2006/relationships/hyperlink" Target="https://www.apra.gov.au/news-and-publications/apra-to-limit-high-debt-to-income-home-loans-to-constrain-riskier-lending" TargetMode="External"/><Relationship Id="rId13" Type="http://schemas.openxmlformats.org/officeDocument/2006/relationships/hyperlink" Target="https://corporate.vanguard.com/content/dam/corp/advocate/investment-stewardship/pdf/policies-and-reports/2024_investment_stewardship_annual_report.pdf?tipo-di-prodotto=fondi-comuni" TargetMode="External"/><Relationship Id="rId57" Type="http://schemas.openxmlformats.org/officeDocument/2006/relationships/hyperlink" Target="https://www.firstlinks.com.au/are-australian-banks-headed-fall" TargetMode="External"/><Relationship Id="rId12" Type="http://schemas.openxmlformats.org/officeDocument/2006/relationships/hyperlink" Target="https://corporate.vanguard.com/content/dam/corp/advocate/investment-stewardship/pdf/policies-and-reports/aus_2024_regional_brief.pdf" TargetMode="External"/><Relationship Id="rId56" Type="http://schemas.openxmlformats.org/officeDocument/2006/relationships/hyperlink" Target="https://www.aurorafunds.com.au/ignore-the-hedge-funds-banks-are-still-a-buy-aurora-says/" TargetMode="External"/><Relationship Id="rId15" Type="http://schemas.openxmlformats.org/officeDocument/2006/relationships/hyperlink" Target="https://www.ssga.com/library-content/assets/pdf/global/asset-stewardship/2025/inst-2024-asset-stewardship-report-generic.pdf" TargetMode="External"/><Relationship Id="rId59" Type="http://schemas.openxmlformats.org/officeDocument/2006/relationships/hyperlink" Target="https://www.fool.com.au/2016/02/24/are-australian-house-prices-set-to-crash/" TargetMode="External"/><Relationship Id="rId14" Type="http://schemas.openxmlformats.org/officeDocument/2006/relationships/hyperlink" Target="https://corpgov.law.harvard.edu/wp-content/uploads/2023/04/asset-stewardship-report-q4-2022.pdf" TargetMode="External"/><Relationship Id="rId58" Type="http://schemas.openxmlformats.org/officeDocument/2006/relationships/hyperlink" Target="https://blog.realestateinvestar.com.au/new-zealand/australian-housing-bubble-ridiculous-expert" TargetMode="External"/><Relationship Id="rId17" Type="http://schemas.openxmlformats.org/officeDocument/2006/relationships/hyperlink" Target="https://www.spglobal.com/market-intelligence/en/news-insights/articles/2025/1/investors-in-australia-s-biggest-banks-face-muted-2025-after-strong-gains-86839076" TargetMode="External"/><Relationship Id="rId16" Type="http://schemas.openxmlformats.org/officeDocument/2006/relationships/hyperlink" Target="https://www.moomoo.com/news/post/55367514/australian-banks-see-rise-in-institutional-offshore-ownership-jarden-says" TargetMode="External"/><Relationship Id="rId19" Type="http://schemas.openxmlformats.org/officeDocument/2006/relationships/hyperlink" Target="https://www.nbim.no/" TargetMode="External"/><Relationship Id="rId18" Type="http://schemas.openxmlformats.org/officeDocument/2006/relationships/hyperlink" Target="https://australiainstitute.org.au/wp-content/uploads/2020/12/TB-15-The-rise-and-rise-of-the-big-banks_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