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Bureaucratic Organism: Why "Starving the Beast" Results in Neglect, Not Freedom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Theory: Optimistic Reductionism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Arguments that rely on cutting funding to force a specific moral outcome (e.g., "Defund ICE -&gt; They can't feed prisoners -&gt; They must release them") are classic examples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"Starve the Beast"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libertarian logic. This framework operates on the assumption that government agencies are rational actors bound by the laws of physics and economics.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Premise: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Money is fuel.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Remove fuel.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Prediction: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machine stops safely.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Reality: Bureaucratic Survivalism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 the real world, institutions function like biological organisms: their primary directive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Survival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not Logic. When you cut the "fuel" (funding), the machine does not simply turn off. It cannibalizes itself to stay alive.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Quality Compromise (The Humanitarian Glitch)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assumption that a specific humanitarian threshold exists—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"We can't feed them, so we must let them go"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—is historically flawed.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threatened bureaucracy will lower the threshold of care to match the new budget. If funding drops by 50%, they do not release 50% of the prisoners; they simply feed everyone 50% less, or cut medical staff, or crowd cells to save on heating.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isn't "Freedom";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Neglect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logic creates a scenario where the guards are still employed, but the prisoners are starving.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Priority Pivot (Shell Games)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Government agencies are masters of moving money between "buckets."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Pivot: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specific budget for "Sustenance" is cut, the agency will likely divert funds from "Maintenance," "Legal Processing," or "Transport" to cover the gap.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Debt Trap: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Alternatively, they will operate in debt (Deficit Spending), assuming that the political fallout of starving prisoners will force Congress to restore funding. This is a game of "Political Chicken," and the prisoners are the leverage.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